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rPr>
      </w:pPr>
      <w:bookmarkStart w:id="110" w:name="_GoBack"/>
      <w:bookmarkEnd w:id="110"/>
    </w:p>
    <w:p>
      <w:pPr>
        <w:jc w:val="center"/>
        <w:rPr>
          <w:rFonts w:ascii="宋体" w:hAnsi="宋体"/>
        </w:rPr>
      </w:pPr>
    </w:p>
    <w:p>
      <w:pPr>
        <w:jc w:val="center"/>
        <w:rPr>
          <w:rFonts w:ascii="宋体" w:hAnsi="宋体"/>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招标文件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749" w:firstLineChars="486"/>
        <w:rPr>
          <w:rFonts w:ascii="宋体" w:hAnsi="宋体" w:cs="宋体"/>
          <w:sz w:val="36"/>
          <w:szCs w:val="30"/>
        </w:rPr>
      </w:pPr>
      <w:r>
        <w:rPr>
          <w:rFonts w:hint="eastAsia" w:ascii="方正小标宋_GBK" w:hAnsi="宋体" w:eastAsia="方正小标宋_GBK"/>
          <w:sz w:val="36"/>
          <w:szCs w:val="30"/>
        </w:rPr>
        <w:t>项目编号：HLCG2023-00</w:t>
      </w:r>
      <w:r>
        <w:rPr>
          <w:rFonts w:hint="eastAsia" w:ascii="宋体" w:hAnsi="宋体" w:cs="宋体"/>
          <w:b/>
          <w:sz w:val="36"/>
          <w:szCs w:val="30"/>
        </w:rPr>
        <w:t>11</w:t>
      </w:r>
    </w:p>
    <w:p>
      <w:pPr>
        <w:spacing w:line="700" w:lineRule="exact"/>
        <w:ind w:firstLine="1749" w:firstLineChars="486"/>
        <w:rPr>
          <w:rFonts w:ascii="方正小标宋_GBK" w:hAnsi="宋体" w:eastAsia="方正小标宋_GBK"/>
          <w:color w:val="000000" w:themeColor="text1"/>
          <w:sz w:val="36"/>
          <w:szCs w:val="30"/>
        </w:rPr>
      </w:pPr>
      <w:r>
        <w:rPr>
          <w:rFonts w:hint="eastAsia" w:ascii="方正小标宋_GBK" w:hAnsi="宋体" w:eastAsia="方正小标宋_GBK"/>
          <w:sz w:val="36"/>
          <w:szCs w:val="30"/>
        </w:rPr>
        <w:t>项目名称：</w:t>
      </w:r>
      <w:r>
        <w:rPr>
          <w:rFonts w:hint="eastAsia" w:ascii="方正小标宋_GBK" w:hAnsi="宋体" w:eastAsia="方正小标宋_GBK"/>
          <w:color w:val="000000" w:themeColor="text1"/>
          <w:sz w:val="36"/>
          <w:szCs w:val="30"/>
        </w:rPr>
        <w:t>重庆海联职业技术学院</w:t>
      </w:r>
    </w:p>
    <w:p>
      <w:pPr>
        <w:spacing w:line="700" w:lineRule="exact"/>
        <w:ind w:left="3601" w:leftChars="1286"/>
        <w:rPr>
          <w:rFonts w:ascii="方正小标宋_GBK" w:hAnsi="宋体" w:eastAsia="方正小标宋_GBK"/>
          <w:color w:val="000000" w:themeColor="text1"/>
          <w:sz w:val="36"/>
          <w:szCs w:val="30"/>
        </w:rPr>
      </w:pPr>
      <w:r>
        <w:rPr>
          <w:rFonts w:hint="eastAsia" w:ascii="方正小标宋_GBK" w:hAnsi="宋体" w:eastAsia="方正小标宋_GBK"/>
          <w:color w:val="000000" w:themeColor="text1"/>
          <w:sz w:val="36"/>
          <w:szCs w:val="30"/>
        </w:rPr>
        <w:t>智能网联汽车实训室建设项目</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1800" w:firstLineChars="200"/>
        <w:rPr>
          <w:rFonts w:ascii="宋体" w:hAnsi="宋体"/>
          <w:b/>
          <w:sz w:val="32"/>
          <w:szCs w:val="32"/>
        </w:rPr>
      </w:pPr>
      <w:r>
        <w:rPr>
          <w:rFonts w:hint="eastAsia" w:ascii="方正小标宋_GBK" w:hAnsi="宋体" w:eastAsia="方正小标宋_GBK"/>
          <w:spacing w:val="270"/>
          <w:kern w:val="0"/>
          <w:sz w:val="36"/>
          <w:szCs w:val="30"/>
        </w:rPr>
        <w:t>采购</w:t>
      </w:r>
      <w:r>
        <w:rPr>
          <w:rFonts w:hint="eastAsia" w:ascii="方正小标宋_GBK" w:hAnsi="宋体" w:eastAsia="方正小标宋_GBK"/>
          <w:kern w:val="0"/>
          <w:sz w:val="36"/>
          <w:szCs w:val="30"/>
        </w:rPr>
        <w:t>人</w:t>
      </w:r>
      <w:r>
        <w:rPr>
          <w:rFonts w:hint="eastAsia" w:ascii="方正小标宋_GBK" w:hAnsi="宋体" w:eastAsia="方正小标宋_GBK"/>
          <w:sz w:val="36"/>
          <w:szCs w:val="30"/>
        </w:rPr>
        <w:t>：重庆海联职业技术学院</w:t>
      </w:r>
    </w:p>
    <w:p>
      <w:pPr>
        <w:spacing w:line="700" w:lineRule="exact"/>
        <w:ind w:firstLine="1800" w:firstLineChars="500"/>
        <w:rPr>
          <w:rFonts w:ascii="方正小标宋_GBK" w:hAnsi="宋体" w:eastAsia="方正小标宋_GBK"/>
          <w:sz w:val="36"/>
          <w:szCs w:val="30"/>
        </w:rPr>
      </w:pPr>
      <w:r>
        <w:rPr>
          <w:rFonts w:hint="eastAsia" w:ascii="方正小标宋_GBK" w:hAnsi="宋体" w:eastAsia="方正小标宋_GBK"/>
          <w:sz w:val="36"/>
          <w:szCs w:val="30"/>
        </w:rPr>
        <w:t>采购代理机构：重庆海联职业技术学院招标办</w:t>
      </w:r>
    </w:p>
    <w:p>
      <w:pPr>
        <w:spacing w:line="700" w:lineRule="exact"/>
        <w:rPr>
          <w:rFonts w:ascii="方正小标宋_GBK" w:hAnsi="宋体" w:eastAsia="方正小标宋_GBK"/>
          <w:sz w:val="36"/>
          <w:szCs w:val="30"/>
        </w:rPr>
      </w:pPr>
    </w:p>
    <w:p>
      <w:pPr>
        <w:spacing w:line="720" w:lineRule="exact"/>
        <w:jc w:val="center"/>
        <w:outlineLvl w:val="0"/>
        <w:rPr>
          <w:rFonts w:ascii="方正黑体_GBK" w:hAnsi="宋体" w:eastAsia="方正黑体_GBK"/>
          <w:sz w:val="48"/>
          <w:szCs w:val="32"/>
        </w:rPr>
        <w:sectPr>
          <w:headerReference r:id="rId4"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黑体_GBK" w:hAnsi="宋体" w:eastAsia="方正黑体_GBK"/>
          <w:sz w:val="48"/>
          <w:szCs w:val="32"/>
        </w:rPr>
        <w:t>二〇二三年十二月</w:t>
      </w: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pPr>
        <w:pStyle w:val="46"/>
        <w:tabs>
          <w:tab w:val="right" w:leader="dot" w:pos="9402"/>
        </w:tabs>
        <w:ind w:left="560"/>
        <w:rPr>
          <w:rFonts w:asciiTheme="minorHAnsi" w:hAnsiTheme="minorHAnsi" w:eastAsiaTheme="minorEastAsia" w:cstheme="minorBid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"_Toc42600917" </w:instrText>
      </w:r>
      <w:r>
        <w:fldChar w:fldCharType="separate"/>
      </w:r>
      <w:r>
        <w:rPr>
          <w:rStyle w:val="65"/>
          <w:rFonts w:hint="eastAsia" w:ascii="方正小标宋_GBK" w:hAnsi="宋体" w:eastAsia="方正小标宋_GBK"/>
        </w:rPr>
        <w:t>第一篇投标邀请书</w:t>
      </w:r>
      <w:r>
        <w:tab/>
      </w:r>
      <w:r>
        <w:fldChar w:fldCharType="begin"/>
      </w:r>
      <w:r>
        <w:instrText xml:space="preserve"> PAGEREF _Toc42600917 \h </w:instrText>
      </w:r>
      <w:r>
        <w:fldChar w:fldCharType="separate"/>
      </w:r>
      <w:r>
        <w:t>- 3 -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"_Toc42600918" </w:instrText>
      </w:r>
      <w:r>
        <w:fldChar w:fldCharType="separate"/>
      </w:r>
      <w:r>
        <w:rPr>
          <w:rStyle w:val="65"/>
          <w:rFonts w:hint="eastAsia" w:ascii="方正仿宋_GBK" w:eastAsia="方正仿宋_GBK"/>
        </w:rPr>
        <w:t>一、投标项目内容</w:t>
      </w:r>
      <w:r>
        <w:tab/>
      </w:r>
      <w:r>
        <w:fldChar w:fldCharType="begin"/>
      </w:r>
      <w:r>
        <w:instrText xml:space="preserve"> PAGEREF _Toc42600918 \h </w:instrText>
      </w:r>
      <w:r>
        <w:fldChar w:fldCharType="separate"/>
      </w:r>
      <w:r>
        <w:t>- 3 -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"_Toc42600919" </w:instrText>
      </w:r>
      <w:r>
        <w:fldChar w:fldCharType="separate"/>
      </w:r>
      <w:r>
        <w:rPr>
          <w:rStyle w:val="65"/>
          <w:rFonts w:hint="eastAsia" w:ascii="方正仿宋_GBK" w:eastAsia="方正仿宋_GBK"/>
        </w:rPr>
        <w:t>二、资金来源</w:t>
      </w:r>
      <w:r>
        <w:tab/>
      </w:r>
      <w:r>
        <w:fldChar w:fldCharType="begin"/>
      </w:r>
      <w:r>
        <w:instrText xml:space="preserve"> PAGEREF _Toc42600919 \h </w:instrText>
      </w:r>
      <w:r>
        <w:fldChar w:fldCharType="separate"/>
      </w:r>
      <w:r>
        <w:t>- 3 -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"_Toc42600920" </w:instrText>
      </w:r>
      <w:r>
        <w:fldChar w:fldCharType="separate"/>
      </w:r>
      <w:r>
        <w:rPr>
          <w:rStyle w:val="65"/>
          <w:rFonts w:hint="eastAsia" w:ascii="方正仿宋_GBK" w:eastAsia="方正仿宋_GBK"/>
        </w:rPr>
        <w:t>三、投标人资格要求</w:t>
      </w:r>
      <w:r>
        <w:tab/>
      </w:r>
      <w:r>
        <w:fldChar w:fldCharType="begin"/>
      </w:r>
      <w:r>
        <w:instrText xml:space="preserve"> PAGEREF _Toc42600920 \h </w:instrText>
      </w:r>
      <w:r>
        <w:fldChar w:fldCharType="separate"/>
      </w:r>
      <w:r>
        <w:t>- 3 -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"_Toc42600921" </w:instrText>
      </w:r>
      <w:r>
        <w:fldChar w:fldCharType="separate"/>
      </w:r>
      <w:r>
        <w:rPr>
          <w:rStyle w:val="65"/>
          <w:rFonts w:hint="eastAsia" w:ascii="方正仿宋_GBK" w:eastAsia="方正仿宋_GBK"/>
        </w:rPr>
        <w:t>四、投标、开标有关说明</w:t>
      </w:r>
      <w:r>
        <w:tab/>
      </w:r>
      <w:r>
        <w:fldChar w:fldCharType="begin"/>
      </w:r>
      <w:r>
        <w:instrText xml:space="preserve"> PAGEREF _Toc42600921 \h </w:instrText>
      </w:r>
      <w:r>
        <w:fldChar w:fldCharType="separate"/>
      </w:r>
      <w:r>
        <w:t>- 3 -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"_Toc42600922" </w:instrText>
      </w:r>
      <w:r>
        <w:fldChar w:fldCharType="separate"/>
      </w:r>
      <w:r>
        <w:rPr>
          <w:rStyle w:val="65"/>
          <w:rFonts w:hint="eastAsia" w:ascii="方正仿宋_GBK" w:eastAsia="方正仿宋_GBK"/>
        </w:rPr>
        <w:t>五、保证金</w:t>
      </w:r>
      <w:r>
        <w:tab/>
      </w:r>
      <w:r>
        <w:fldChar w:fldCharType="begin"/>
      </w:r>
      <w:r>
        <w:instrText xml:space="preserve"> PAGEREF _Toc42600922 \h </w:instrText>
      </w:r>
      <w:r>
        <w:fldChar w:fldCharType="separate"/>
      </w:r>
      <w:r>
        <w:t>- 4 -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"_Toc42600923" </w:instrText>
      </w:r>
      <w:r>
        <w:fldChar w:fldCharType="separate"/>
      </w:r>
      <w:r>
        <w:rPr>
          <w:rStyle w:val="65"/>
          <w:rFonts w:hint="eastAsia" w:ascii="方正仿宋_GBK" w:eastAsia="方正仿宋_GBK"/>
        </w:rPr>
        <w:t>六、采购项目需落实的政府采购政策</w:t>
      </w:r>
      <w:r>
        <w:tab/>
      </w:r>
      <w:r>
        <w:fldChar w:fldCharType="begin"/>
      </w:r>
      <w:r>
        <w:instrText xml:space="preserve"> PAGEREF _Toc42600923 \h </w:instrText>
      </w:r>
      <w:r>
        <w:fldChar w:fldCharType="separate"/>
      </w:r>
      <w:r>
        <w:t>- 4 -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"_Toc42600924" </w:instrText>
      </w:r>
      <w:r>
        <w:fldChar w:fldCharType="separate"/>
      </w:r>
      <w:r>
        <w:rPr>
          <w:rStyle w:val="65"/>
          <w:rFonts w:hint="eastAsia" w:ascii="方正仿宋_GBK" w:eastAsia="方正仿宋_GBK"/>
        </w:rPr>
        <w:t>七、投标有关规定</w:t>
      </w:r>
      <w:r>
        <w:tab/>
      </w:r>
      <w:r>
        <w:fldChar w:fldCharType="begin"/>
      </w:r>
      <w:r>
        <w:instrText xml:space="preserve"> PAGEREF _Toc42600924 \h </w:instrText>
      </w:r>
      <w:r>
        <w:fldChar w:fldCharType="separate"/>
      </w:r>
      <w:r>
        <w:t>- 5 -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"_Toc42600925" </w:instrText>
      </w:r>
      <w:r>
        <w:fldChar w:fldCharType="separate"/>
      </w:r>
      <w:r>
        <w:rPr>
          <w:rStyle w:val="65"/>
          <w:rFonts w:hint="eastAsia" w:ascii="方正仿宋_GBK" w:eastAsia="方正仿宋_GBK"/>
        </w:rPr>
        <w:t>八、联系方式</w:t>
      </w:r>
      <w:r>
        <w:tab/>
      </w:r>
      <w:r>
        <w:fldChar w:fldCharType="begin"/>
      </w:r>
      <w:r>
        <w:instrText xml:space="preserve"> PAGEREF _Toc42600925 \h </w:instrText>
      </w:r>
      <w:r>
        <w:fldChar w:fldCharType="separate"/>
      </w:r>
      <w:r>
        <w:t>- 5 -</w:t>
      </w:r>
      <w:r>
        <w:fldChar w:fldCharType="end"/>
      </w:r>
      <w:r>
        <w:fldChar w:fldCharType="end"/>
      </w:r>
    </w:p>
    <w:p>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"_Toc42600926" </w:instrText>
      </w:r>
      <w:r>
        <w:fldChar w:fldCharType="separate"/>
      </w:r>
      <w:r>
        <w:rPr>
          <w:rStyle w:val="65"/>
          <w:rFonts w:hint="eastAsia" w:ascii="方正小标宋_GBK" w:hAnsi="宋体" w:eastAsia="方正小标宋_GBK"/>
        </w:rPr>
        <w:t>第二篇项目技术规格、数量及质量要求</w:t>
      </w:r>
      <w:r>
        <w:tab/>
      </w:r>
      <w:r>
        <w:fldChar w:fldCharType="begin"/>
      </w:r>
      <w:r>
        <w:instrText xml:space="preserve"> PAGEREF _Toc42600926 \h </w:instrText>
      </w:r>
      <w:r>
        <w:fldChar w:fldCharType="separate"/>
      </w:r>
      <w:r>
        <w:t>- 7 -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"_Toc42600927" </w:instrText>
      </w:r>
      <w:r>
        <w:fldChar w:fldCharType="separate"/>
      </w:r>
      <w:r>
        <w:rPr>
          <w:rStyle w:val="65"/>
          <w:rFonts w:hint="eastAsia" w:ascii="方正仿宋_GBK" w:eastAsia="方正仿宋_GBK"/>
        </w:rPr>
        <w:t>一、技术项目一览表</w:t>
      </w:r>
      <w:r>
        <w:tab/>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"_Toc42600928" </w:instrText>
      </w:r>
      <w:r>
        <w:fldChar w:fldCharType="separate"/>
      </w:r>
      <w:r>
        <w:rPr>
          <w:rStyle w:val="65"/>
          <w:rFonts w:hint="eastAsia" w:ascii="方正仿宋_GBK" w:eastAsia="方正仿宋_GBK"/>
        </w:rPr>
        <w:t>二、功能要求</w:t>
      </w:r>
      <w:r>
        <w:tab/>
      </w:r>
      <w:r>
        <w:fldChar w:fldCharType="end"/>
      </w:r>
    </w:p>
    <w:p>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"_Toc42600929" </w:instrText>
      </w:r>
      <w:r>
        <w:fldChar w:fldCharType="separate"/>
      </w:r>
      <w:r>
        <w:rPr>
          <w:rStyle w:val="65"/>
          <w:rFonts w:hint="eastAsia" w:ascii="方正小标宋_GBK" w:hAnsi="宋体" w:eastAsia="方正小标宋_GBK"/>
        </w:rPr>
        <w:t>第三篇 项目商务要求</w:t>
      </w:r>
      <w:r>
        <w:tab/>
      </w:r>
      <w:r>
        <w:fldChar w:fldCharType="begin"/>
      </w:r>
      <w:r>
        <w:instrText xml:space="preserve"> PAGEREF _Toc42600929 \h </w:instrText>
      </w:r>
      <w:r>
        <w:fldChar w:fldCharType="separate"/>
      </w:r>
      <w:r>
        <w:t>- 10 -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"_Toc42600930" </w:instrText>
      </w:r>
      <w:r>
        <w:fldChar w:fldCharType="separate"/>
      </w:r>
      <w:r>
        <w:rPr>
          <w:rStyle w:val="65"/>
          <w:rFonts w:hint="eastAsia" w:ascii="方正仿宋_GBK" w:hAnsi="宋体" w:eastAsia="方正仿宋_GBK"/>
        </w:rPr>
        <w:t>一、实施时间、地点及验收方式</w:t>
      </w:r>
      <w:r>
        <w:tab/>
      </w:r>
      <w:r>
        <w:fldChar w:fldCharType="begin"/>
      </w:r>
      <w:r>
        <w:instrText xml:space="preserve"> PAGEREF _Toc42600930 \h </w:instrText>
      </w:r>
      <w:r>
        <w:fldChar w:fldCharType="separate"/>
      </w:r>
      <w:r>
        <w:t>- 10 -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"_Toc42600931" </w:instrText>
      </w:r>
      <w:r>
        <w:fldChar w:fldCharType="separate"/>
      </w:r>
      <w:r>
        <w:rPr>
          <w:rStyle w:val="65"/>
          <w:rFonts w:hint="eastAsia" w:ascii="方正仿宋_GBK" w:hAnsi="宋体" w:eastAsia="方正仿宋_GBK"/>
        </w:rPr>
        <w:t>二、质量保证及售后服务</w:t>
      </w:r>
      <w:r>
        <w:tab/>
      </w:r>
      <w:r>
        <w:fldChar w:fldCharType="begin"/>
      </w:r>
      <w:r>
        <w:instrText xml:space="preserve"> PAGEREF _Toc42600931 \h </w:instrText>
      </w:r>
      <w:r>
        <w:fldChar w:fldCharType="separate"/>
      </w:r>
      <w:r>
        <w:t>- 11 -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"_Toc42600932" </w:instrText>
      </w:r>
      <w:r>
        <w:fldChar w:fldCharType="separate"/>
      </w:r>
      <w:r>
        <w:rPr>
          <w:rStyle w:val="65"/>
          <w:rFonts w:hint="eastAsia" w:ascii="方正仿宋_GBK" w:hAnsi="宋体" w:eastAsia="方正仿宋_GBK"/>
        </w:rPr>
        <w:t>三、报价要求</w:t>
      </w:r>
      <w:r>
        <w:tab/>
      </w:r>
      <w:r>
        <w:fldChar w:fldCharType="begin"/>
      </w:r>
      <w:r>
        <w:instrText xml:space="preserve"> PAGEREF _Toc42600932 \h </w:instrText>
      </w:r>
      <w:r>
        <w:fldChar w:fldCharType="separate"/>
      </w:r>
      <w:r>
        <w:t>- 12 -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"_Toc42600933" </w:instrText>
      </w:r>
      <w:r>
        <w:fldChar w:fldCharType="separate"/>
      </w:r>
      <w:r>
        <w:rPr>
          <w:rStyle w:val="65"/>
          <w:rFonts w:hint="eastAsia" w:ascii="方正仿宋_GBK" w:hAnsi="宋体" w:eastAsia="方正仿宋_GBK"/>
        </w:rPr>
        <w:t>四、付款方式</w:t>
      </w:r>
      <w:r>
        <w:tab/>
      </w:r>
      <w:r>
        <w:fldChar w:fldCharType="begin"/>
      </w:r>
      <w:r>
        <w:instrText xml:space="preserve"> PAGEREF _Toc42600933 \h </w:instrText>
      </w:r>
      <w:r>
        <w:fldChar w:fldCharType="separate"/>
      </w:r>
      <w:r>
        <w:t>- 12 -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"_Toc42600934" </w:instrText>
      </w:r>
      <w:r>
        <w:fldChar w:fldCharType="separate"/>
      </w:r>
      <w:r>
        <w:rPr>
          <w:rStyle w:val="65"/>
          <w:rFonts w:hint="eastAsia" w:ascii="方正仿宋_GBK" w:hAnsi="宋体" w:eastAsia="方正仿宋_GBK"/>
        </w:rPr>
        <w:t>五、知识产权</w:t>
      </w:r>
      <w:r>
        <w:tab/>
      </w:r>
      <w:r>
        <w:fldChar w:fldCharType="begin"/>
      </w:r>
      <w:r>
        <w:instrText xml:space="preserve"> PAGEREF _Toc42600934 \h </w:instrText>
      </w:r>
      <w:r>
        <w:fldChar w:fldCharType="separate"/>
      </w:r>
      <w:r>
        <w:t>- 12 -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"_Toc42600935" </w:instrText>
      </w:r>
      <w:r>
        <w:fldChar w:fldCharType="separate"/>
      </w:r>
      <w:r>
        <w:rPr>
          <w:rStyle w:val="65"/>
          <w:rFonts w:hint="eastAsia" w:ascii="方正仿宋_GBK" w:hAnsi="宋体" w:eastAsia="方正仿宋_GBK"/>
        </w:rPr>
        <w:t>六、培训</w:t>
      </w:r>
      <w:r>
        <w:tab/>
      </w:r>
      <w:r>
        <w:rPr>
          <w:rFonts w:hint="eastAsia"/>
        </w:rPr>
        <w:t>16</w:t>
      </w:r>
      <w:r>
        <w:rPr>
          <w:rFonts w:hint="eastAsia"/>
        </w:rP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"_Toc42600936" </w:instrText>
      </w:r>
      <w:r>
        <w:fldChar w:fldCharType="separate"/>
      </w:r>
      <w:r>
        <w:rPr>
          <w:rStyle w:val="65"/>
          <w:rFonts w:hint="eastAsia" w:ascii="方正仿宋_GBK" w:hAnsi="宋体" w:eastAsia="方正仿宋_GBK"/>
        </w:rPr>
        <w:t>七、其他</w:t>
      </w:r>
      <w:r>
        <w:tab/>
      </w:r>
      <w:r>
        <w:fldChar w:fldCharType="begin"/>
      </w:r>
      <w:r>
        <w:instrText xml:space="preserve"> PAGEREF _Toc42600936 \h </w:instrText>
      </w:r>
      <w:r>
        <w:fldChar w:fldCharType="separate"/>
      </w:r>
      <w:r>
        <w:t>- 12 -</w:t>
      </w:r>
      <w:r>
        <w:fldChar w:fldCharType="end"/>
      </w:r>
      <w:r>
        <w:fldChar w:fldCharType="end"/>
      </w:r>
    </w:p>
    <w:p>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"_Toc42600937" </w:instrText>
      </w:r>
      <w:r>
        <w:fldChar w:fldCharType="separate"/>
      </w:r>
      <w:r>
        <w:rPr>
          <w:rStyle w:val="65"/>
          <w:rFonts w:hint="eastAsia" w:ascii="方正小标宋_GBK" w:hAnsi="宋体" w:eastAsia="方正小标宋_GBK"/>
        </w:rPr>
        <w:t>第四篇资格审查及评标办法</w:t>
      </w:r>
      <w:r>
        <w:tab/>
      </w:r>
      <w:r>
        <w:fldChar w:fldCharType="begin"/>
      </w:r>
      <w:r>
        <w:instrText xml:space="preserve"> PAGEREF _Toc42600937 \h </w:instrText>
      </w:r>
      <w:r>
        <w:fldChar w:fldCharType="separate"/>
      </w:r>
      <w:r>
        <w:t>- 13 -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"_Toc42600938" </w:instrText>
      </w:r>
      <w:r>
        <w:fldChar w:fldCharType="separate"/>
      </w:r>
      <w:r>
        <w:rPr>
          <w:rStyle w:val="65"/>
          <w:rFonts w:hint="eastAsia" w:ascii="方正仿宋_GBK" w:hAnsi="宋体" w:eastAsia="方正仿宋_GBK"/>
        </w:rPr>
        <w:t>一、资格审查</w:t>
      </w:r>
      <w:r>
        <w:tab/>
      </w:r>
      <w:r>
        <w:fldChar w:fldCharType="begin"/>
      </w:r>
      <w:r>
        <w:instrText xml:space="preserve"> PAGEREF _Toc42600938 \h </w:instrText>
      </w:r>
      <w:r>
        <w:fldChar w:fldCharType="separate"/>
      </w:r>
      <w:r>
        <w:t>- 13 -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"_Toc42600939" </w:instrText>
      </w:r>
      <w:r>
        <w:fldChar w:fldCharType="separate"/>
      </w:r>
      <w:r>
        <w:rPr>
          <w:rStyle w:val="65"/>
          <w:rFonts w:hint="eastAsia" w:ascii="方正仿宋_GBK" w:hAnsi="宋体" w:eastAsia="方正仿宋_GBK"/>
        </w:rPr>
        <w:t>二、评标方法</w:t>
      </w:r>
      <w:r>
        <w:tab/>
      </w:r>
      <w:r>
        <w:fldChar w:fldCharType="begin"/>
      </w:r>
      <w:r>
        <w:instrText xml:space="preserve"> PAGEREF _Toc42600939 \h </w:instrText>
      </w:r>
      <w:r>
        <w:fldChar w:fldCharType="separate"/>
      </w:r>
      <w:r>
        <w:t>- 14 -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"_Toc42600940" </w:instrText>
      </w:r>
      <w:r>
        <w:fldChar w:fldCharType="separate"/>
      </w:r>
      <w:r>
        <w:rPr>
          <w:rStyle w:val="65"/>
          <w:rFonts w:hint="eastAsia" w:ascii="方正仿宋_GBK" w:hAnsi="宋体" w:eastAsia="方正仿宋_GBK"/>
        </w:rPr>
        <w:t>三、评标标准</w:t>
      </w:r>
      <w:r>
        <w:tab/>
      </w:r>
      <w:r>
        <w:fldChar w:fldCharType="begin"/>
      </w:r>
      <w:r>
        <w:instrText xml:space="preserve"> PAGEREF _Toc42600940 \h </w:instrText>
      </w:r>
      <w:r>
        <w:fldChar w:fldCharType="separate"/>
      </w:r>
      <w:r>
        <w:t>- 15 -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"_Toc42600941" </w:instrText>
      </w:r>
      <w:r>
        <w:fldChar w:fldCharType="separate"/>
      </w:r>
      <w:r>
        <w:rPr>
          <w:rStyle w:val="65"/>
          <w:rFonts w:hint="eastAsia" w:ascii="方正仿宋_GBK" w:hAnsi="宋体" w:eastAsia="方正仿宋_GBK"/>
        </w:rPr>
        <w:t>四、无效投标条款</w:t>
      </w:r>
      <w:r>
        <w:tab/>
      </w:r>
      <w:r>
        <w:fldChar w:fldCharType="begin"/>
      </w:r>
      <w:r>
        <w:instrText xml:space="preserve"> PAGEREF _Toc42600941 \h </w:instrText>
      </w:r>
      <w:r>
        <w:fldChar w:fldCharType="separate"/>
      </w:r>
      <w:r>
        <w:t>- 16 -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"_Toc42600942" </w:instrText>
      </w:r>
      <w:r>
        <w:fldChar w:fldCharType="separate"/>
      </w:r>
      <w:r>
        <w:rPr>
          <w:rStyle w:val="65"/>
          <w:rFonts w:hint="eastAsia" w:ascii="方正仿宋_GBK" w:hAnsi="宋体" w:eastAsia="方正仿宋_GBK"/>
        </w:rPr>
        <w:t>五、废标条款</w:t>
      </w:r>
      <w:r>
        <w:tab/>
      </w:r>
      <w:r>
        <w:fldChar w:fldCharType="begin"/>
      </w:r>
      <w:r>
        <w:instrText xml:space="preserve"> PAGEREF _Toc42600942 \h </w:instrText>
      </w:r>
      <w:r>
        <w:fldChar w:fldCharType="separate"/>
      </w:r>
      <w:r>
        <w:t>- 17 -</w:t>
      </w:r>
      <w:r>
        <w:fldChar w:fldCharType="end"/>
      </w:r>
      <w:r>
        <w:fldChar w:fldCharType="end"/>
      </w:r>
    </w:p>
    <w:p>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"_Toc42600943" </w:instrText>
      </w:r>
      <w:r>
        <w:fldChar w:fldCharType="separate"/>
      </w:r>
      <w:r>
        <w:rPr>
          <w:rStyle w:val="65"/>
          <w:rFonts w:hint="eastAsia" w:ascii="方正小标宋_GBK" w:hAnsi="宋体" w:eastAsia="方正小标宋_GBK"/>
        </w:rPr>
        <w:t>第五篇供应商须知</w:t>
      </w:r>
      <w:r>
        <w:tab/>
      </w:r>
      <w:r>
        <w:fldChar w:fldCharType="begin"/>
      </w:r>
      <w:r>
        <w:instrText xml:space="preserve"> PAGEREF _Toc42600943 \h </w:instrText>
      </w:r>
      <w:r>
        <w:fldChar w:fldCharType="separate"/>
      </w:r>
      <w:r>
        <w:t>- 18 -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"_Toc42600944" </w:instrText>
      </w:r>
      <w:r>
        <w:fldChar w:fldCharType="separate"/>
      </w:r>
      <w:r>
        <w:rPr>
          <w:rStyle w:val="65"/>
          <w:rFonts w:hint="eastAsia" w:ascii="方正仿宋_GBK" w:hAnsi="宋体" w:eastAsia="方正仿宋_GBK"/>
        </w:rPr>
        <w:t>一、投标人</w:t>
      </w:r>
      <w:r>
        <w:tab/>
      </w:r>
      <w:r>
        <w:fldChar w:fldCharType="begin"/>
      </w:r>
      <w:r>
        <w:instrText xml:space="preserve"> PAGEREF _Toc42600944 \h </w:instrText>
      </w:r>
      <w:r>
        <w:fldChar w:fldCharType="separate"/>
      </w:r>
      <w:r>
        <w:t>- 18 -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"_Toc42600945" </w:instrText>
      </w:r>
      <w:r>
        <w:fldChar w:fldCharType="separate"/>
      </w:r>
      <w:r>
        <w:rPr>
          <w:rStyle w:val="65"/>
          <w:rFonts w:hint="eastAsia" w:ascii="方正仿宋_GBK" w:hAnsi="宋体" w:eastAsia="方正仿宋_GBK"/>
        </w:rPr>
        <w:t>二、招标文件</w:t>
      </w:r>
      <w:r>
        <w:tab/>
      </w:r>
      <w:r>
        <w:fldChar w:fldCharType="begin"/>
      </w:r>
      <w:r>
        <w:instrText xml:space="preserve"> PAGEREF _Toc42600945 \h </w:instrText>
      </w:r>
      <w:r>
        <w:fldChar w:fldCharType="separate"/>
      </w:r>
      <w:r>
        <w:t>- 18 -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"_Toc42600946" </w:instrText>
      </w:r>
      <w:r>
        <w:fldChar w:fldCharType="separate"/>
      </w:r>
      <w:r>
        <w:rPr>
          <w:rStyle w:val="65"/>
          <w:rFonts w:hint="eastAsia" w:ascii="方正仿宋_GBK" w:hAnsi="宋体" w:eastAsia="方正仿宋_GBK"/>
        </w:rPr>
        <w:t>三、投标文件</w:t>
      </w:r>
      <w:r>
        <w:tab/>
      </w:r>
      <w:r>
        <w:fldChar w:fldCharType="begin"/>
      </w:r>
      <w:r>
        <w:instrText xml:space="preserve"> PAGEREF _Toc42600946 \h </w:instrText>
      </w:r>
      <w:r>
        <w:fldChar w:fldCharType="separate"/>
      </w:r>
      <w:r>
        <w:t>- 18 -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"_Toc42600947" </w:instrText>
      </w:r>
      <w:r>
        <w:fldChar w:fldCharType="separate"/>
      </w:r>
      <w:r>
        <w:rPr>
          <w:rStyle w:val="65"/>
          <w:rFonts w:hint="eastAsia" w:ascii="方正仿宋_GBK" w:hAnsi="宋体" w:eastAsia="方正仿宋_GBK"/>
        </w:rPr>
        <w:t>四、开标</w:t>
      </w:r>
      <w:r>
        <w:tab/>
      </w:r>
      <w:r>
        <w:fldChar w:fldCharType="begin"/>
      </w:r>
      <w:r>
        <w:instrText xml:space="preserve"> PAGEREF _Toc42600947 \h </w:instrText>
      </w:r>
      <w:r>
        <w:fldChar w:fldCharType="separate"/>
      </w:r>
      <w:r>
        <w:t>- 21 -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"_Toc42600948" </w:instrText>
      </w:r>
      <w:r>
        <w:fldChar w:fldCharType="separate"/>
      </w:r>
      <w:r>
        <w:rPr>
          <w:rStyle w:val="65"/>
          <w:rFonts w:hint="eastAsia" w:ascii="方正仿宋_GBK" w:hAnsi="宋体" w:eastAsia="方正仿宋_GBK"/>
        </w:rPr>
        <w:t>五、评标</w:t>
      </w:r>
      <w:r>
        <w:tab/>
      </w:r>
      <w:r>
        <w:fldChar w:fldCharType="begin"/>
      </w:r>
      <w:r>
        <w:instrText xml:space="preserve"> PAGEREF _Toc42600948 \h </w:instrText>
      </w:r>
      <w:r>
        <w:fldChar w:fldCharType="separate"/>
      </w:r>
      <w:r>
        <w:t>- 21 -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"_Toc42600949" </w:instrText>
      </w:r>
      <w:r>
        <w:fldChar w:fldCharType="separate"/>
      </w:r>
      <w:r>
        <w:rPr>
          <w:rStyle w:val="65"/>
          <w:rFonts w:hint="eastAsia" w:ascii="方正仿宋_GBK" w:hAnsi="宋体" w:eastAsia="方正仿宋_GBK"/>
        </w:rPr>
        <w:t>六、定标</w:t>
      </w:r>
      <w:r>
        <w:tab/>
      </w:r>
      <w:r>
        <w:fldChar w:fldCharType="begin"/>
      </w:r>
      <w:r>
        <w:instrText xml:space="preserve"> PAGEREF _Toc42600949 \h </w:instrText>
      </w:r>
      <w:r>
        <w:fldChar w:fldCharType="separate"/>
      </w:r>
      <w:r>
        <w:t>- 22 -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"_Toc42600950" </w:instrText>
      </w:r>
      <w:r>
        <w:fldChar w:fldCharType="separate"/>
      </w:r>
      <w:r>
        <w:rPr>
          <w:rStyle w:val="65"/>
          <w:rFonts w:hint="eastAsia" w:ascii="方正仿宋_GBK" w:hAnsi="宋体" w:eastAsia="方正仿宋_GBK"/>
        </w:rPr>
        <w:t>七、中标通知书</w:t>
      </w:r>
      <w:r>
        <w:tab/>
      </w:r>
      <w:r>
        <w:fldChar w:fldCharType="begin"/>
      </w:r>
      <w:r>
        <w:instrText xml:space="preserve"> PAGEREF _Toc42600950 \h </w:instrText>
      </w:r>
      <w:r>
        <w:fldChar w:fldCharType="separate"/>
      </w:r>
      <w:r>
        <w:t>- 22 -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"_Toc42600951" </w:instrText>
      </w:r>
      <w:r>
        <w:fldChar w:fldCharType="separate"/>
      </w:r>
      <w:r>
        <w:rPr>
          <w:rStyle w:val="65"/>
          <w:rFonts w:hint="eastAsia" w:ascii="方正仿宋_GBK" w:hAnsi="宋体" w:eastAsia="方正仿宋_GBK"/>
        </w:rPr>
        <w:t>八、询问、质疑和投诉</w:t>
      </w:r>
      <w:r>
        <w:tab/>
      </w:r>
      <w:r>
        <w:fldChar w:fldCharType="begin"/>
      </w:r>
      <w:r>
        <w:instrText xml:space="preserve"> PAGEREF _Toc42600951 \h </w:instrText>
      </w:r>
      <w:r>
        <w:fldChar w:fldCharType="separate"/>
      </w:r>
      <w:r>
        <w:t>- 22 -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"_Toc42600952" </w:instrText>
      </w:r>
      <w:r>
        <w:fldChar w:fldCharType="separate"/>
      </w:r>
      <w:r>
        <w:rPr>
          <w:rStyle w:val="65"/>
          <w:rFonts w:hint="eastAsia" w:ascii="方正仿宋_GBK" w:hAnsi="宋体" w:eastAsia="方正仿宋_GBK"/>
        </w:rPr>
        <w:t>九、签订合同</w:t>
      </w:r>
      <w:r>
        <w:tab/>
      </w:r>
      <w:r>
        <w:fldChar w:fldCharType="begin"/>
      </w:r>
      <w:r>
        <w:instrText xml:space="preserve"> PAGEREF _Toc42600952 \h </w:instrText>
      </w:r>
      <w:r>
        <w:fldChar w:fldCharType="separate"/>
      </w:r>
      <w:r>
        <w:t>- 24 -</w:t>
      </w:r>
      <w:r>
        <w:fldChar w:fldCharType="end"/>
      </w:r>
      <w:r>
        <w:fldChar w:fldCharType="end"/>
      </w:r>
    </w:p>
    <w:p>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"_Toc42600953" </w:instrText>
      </w:r>
      <w:r>
        <w:fldChar w:fldCharType="separate"/>
      </w:r>
      <w:r>
        <w:rPr>
          <w:rStyle w:val="65"/>
          <w:rFonts w:hint="eastAsia" w:ascii="方正小标宋_GBK" w:hAnsi="宋体" w:eastAsia="方正小标宋_GBK"/>
        </w:rPr>
        <w:t>第六篇合同主要条款和格式合同（样本）</w:t>
      </w:r>
      <w:r>
        <w:tab/>
      </w:r>
      <w:r>
        <w:fldChar w:fldCharType="begin"/>
      </w:r>
      <w:r>
        <w:instrText xml:space="preserve"> PAGEREF _Toc42600953 \h </w:instrText>
      </w:r>
      <w:r>
        <w:fldChar w:fldCharType="separate"/>
      </w:r>
      <w:r>
        <w:t>- 25 -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"_Toc42600954" </w:instrText>
      </w:r>
      <w:r>
        <w:fldChar w:fldCharType="separate"/>
      </w:r>
      <w:r>
        <w:rPr>
          <w:rStyle w:val="65"/>
          <w:rFonts w:ascii="方正仿宋_GBK" w:hAnsi="宋体" w:eastAsia="方正仿宋_GBK"/>
        </w:rPr>
        <w:t>1.</w:t>
      </w:r>
      <w:r>
        <w:rPr>
          <w:rStyle w:val="65"/>
          <w:rFonts w:hint="eastAsia" w:ascii="方正仿宋_GBK" w:hAnsi="宋体" w:eastAsia="方正仿宋_GBK"/>
        </w:rPr>
        <w:t>定义</w:t>
      </w:r>
      <w:r>
        <w:tab/>
      </w:r>
      <w:r>
        <w:fldChar w:fldCharType="begin"/>
      </w:r>
      <w:r>
        <w:instrText xml:space="preserve"> PAGEREF _Toc42600954 \h </w:instrText>
      </w:r>
      <w:r>
        <w:fldChar w:fldCharType="separate"/>
      </w:r>
      <w:r>
        <w:t>- 25 -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"_Toc42600955" </w:instrText>
      </w:r>
      <w:r>
        <w:fldChar w:fldCharType="separate"/>
      </w:r>
      <w:r>
        <w:rPr>
          <w:rStyle w:val="65"/>
          <w:rFonts w:ascii="方正仿宋_GBK" w:hAnsi="宋体" w:eastAsia="方正仿宋_GBK"/>
        </w:rPr>
        <w:t>2.</w:t>
      </w:r>
      <w:r>
        <w:rPr>
          <w:rStyle w:val="65"/>
          <w:rFonts w:hint="eastAsia" w:ascii="方正仿宋_GBK" w:hAnsi="宋体" w:eastAsia="方正仿宋_GBK"/>
        </w:rPr>
        <w:t>货物内容</w:t>
      </w:r>
      <w:r>
        <w:tab/>
      </w:r>
      <w:r>
        <w:fldChar w:fldCharType="begin"/>
      </w:r>
      <w:r>
        <w:instrText xml:space="preserve"> PAGEREF _Toc42600955 \h </w:instrText>
      </w:r>
      <w:r>
        <w:fldChar w:fldCharType="separate"/>
      </w:r>
      <w:r>
        <w:t>- 25 -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"_Toc42600956" </w:instrText>
      </w:r>
      <w:r>
        <w:fldChar w:fldCharType="separate"/>
      </w:r>
      <w:r>
        <w:rPr>
          <w:rStyle w:val="65"/>
          <w:rFonts w:ascii="方正仿宋_GBK" w:hAnsi="宋体" w:eastAsia="方正仿宋_GBK"/>
        </w:rPr>
        <w:t>3.</w:t>
      </w:r>
      <w:r>
        <w:rPr>
          <w:rStyle w:val="65"/>
          <w:rFonts w:hint="eastAsia" w:ascii="方正仿宋_GBK" w:hAnsi="宋体" w:eastAsia="方正仿宋_GBK"/>
        </w:rPr>
        <w:t>合同价格</w:t>
      </w:r>
      <w:r>
        <w:tab/>
      </w:r>
      <w:r>
        <w:fldChar w:fldCharType="begin"/>
      </w:r>
      <w:r>
        <w:instrText xml:space="preserve"> PAGEREF _Toc42600956 \h </w:instrText>
      </w:r>
      <w:r>
        <w:fldChar w:fldCharType="separate"/>
      </w:r>
      <w:r>
        <w:t>- 25 -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"_Toc42600957" </w:instrText>
      </w:r>
      <w:r>
        <w:fldChar w:fldCharType="separate"/>
      </w:r>
      <w:r>
        <w:rPr>
          <w:rStyle w:val="65"/>
          <w:rFonts w:ascii="方正仿宋_GBK" w:hAnsi="宋体" w:eastAsia="方正仿宋_GBK"/>
        </w:rPr>
        <w:t>4.</w:t>
      </w:r>
      <w:r>
        <w:rPr>
          <w:rStyle w:val="65"/>
          <w:rFonts w:hint="eastAsia" w:ascii="方正仿宋_GBK" w:hAnsi="宋体" w:eastAsia="方正仿宋_GBK"/>
        </w:rPr>
        <w:t>转包或分包</w:t>
      </w:r>
      <w:r>
        <w:tab/>
      </w:r>
      <w:r>
        <w:fldChar w:fldCharType="begin"/>
      </w:r>
      <w:r>
        <w:instrText xml:space="preserve"> PAGEREF _Toc42600957 \h </w:instrText>
      </w:r>
      <w:r>
        <w:fldChar w:fldCharType="separate"/>
      </w:r>
      <w:r>
        <w:t>- 25 -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"_Toc42600958" </w:instrText>
      </w:r>
      <w:r>
        <w:fldChar w:fldCharType="separate"/>
      </w:r>
      <w:r>
        <w:rPr>
          <w:rStyle w:val="65"/>
          <w:rFonts w:ascii="方正仿宋_GBK" w:hAnsi="宋体" w:eastAsia="方正仿宋_GBK"/>
        </w:rPr>
        <w:t>5.</w:t>
      </w:r>
      <w:r>
        <w:rPr>
          <w:rStyle w:val="65"/>
          <w:rFonts w:hint="eastAsia" w:ascii="方正仿宋_GBK" w:hAnsi="宋体" w:eastAsia="方正仿宋_GBK"/>
        </w:rPr>
        <w:t>质量保证及售后服务</w:t>
      </w:r>
      <w:r>
        <w:tab/>
      </w:r>
      <w:r>
        <w:fldChar w:fldCharType="begin"/>
      </w:r>
      <w:r>
        <w:instrText xml:space="preserve"> PAGEREF _Toc42600958 \h </w:instrText>
      </w:r>
      <w:r>
        <w:fldChar w:fldCharType="separate"/>
      </w:r>
      <w:r>
        <w:t>- 25 -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"_Toc42600959" </w:instrText>
      </w:r>
      <w:r>
        <w:fldChar w:fldCharType="separate"/>
      </w:r>
      <w:r>
        <w:rPr>
          <w:rStyle w:val="65"/>
          <w:rFonts w:ascii="方正仿宋_GBK" w:hAnsi="宋体" w:eastAsia="方正仿宋_GBK"/>
        </w:rPr>
        <w:t>6.</w:t>
      </w:r>
      <w:r>
        <w:rPr>
          <w:rStyle w:val="65"/>
          <w:rFonts w:hint="eastAsia" w:ascii="方正仿宋_GBK" w:hAnsi="宋体" w:eastAsia="方正仿宋_GBK"/>
        </w:rPr>
        <w:t>付款</w:t>
      </w:r>
      <w:r>
        <w:tab/>
      </w:r>
      <w:r>
        <w:fldChar w:fldCharType="begin"/>
      </w:r>
      <w:r>
        <w:instrText xml:space="preserve"> PAGEREF _Toc42600959 \h </w:instrText>
      </w:r>
      <w:r>
        <w:fldChar w:fldCharType="separate"/>
      </w:r>
      <w:r>
        <w:t>- 26 -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"_Toc42600960" </w:instrText>
      </w:r>
      <w:r>
        <w:fldChar w:fldCharType="separate"/>
      </w:r>
      <w:r>
        <w:rPr>
          <w:rStyle w:val="65"/>
          <w:rFonts w:ascii="方正仿宋_GBK" w:hAnsi="宋体" w:eastAsia="方正仿宋_GBK"/>
        </w:rPr>
        <w:t>7.</w:t>
      </w:r>
      <w:r>
        <w:rPr>
          <w:rStyle w:val="65"/>
          <w:rFonts w:hint="eastAsia" w:ascii="方正仿宋_GBK" w:hAnsi="宋体" w:eastAsia="方正仿宋_GBK"/>
        </w:rPr>
        <w:t>检查验收</w:t>
      </w:r>
      <w:r>
        <w:tab/>
      </w:r>
      <w:r>
        <w:fldChar w:fldCharType="begin"/>
      </w:r>
      <w:r>
        <w:instrText xml:space="preserve"> PAGEREF _Toc42600960 \h </w:instrText>
      </w:r>
      <w:r>
        <w:fldChar w:fldCharType="separate"/>
      </w:r>
      <w:r>
        <w:t>- 26 -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"_Toc42600961" </w:instrText>
      </w:r>
      <w:r>
        <w:fldChar w:fldCharType="separate"/>
      </w:r>
      <w:r>
        <w:rPr>
          <w:rStyle w:val="65"/>
          <w:rFonts w:ascii="方正仿宋_GBK" w:hAnsi="宋体" w:eastAsia="方正仿宋_GBK"/>
        </w:rPr>
        <w:t>8.</w:t>
      </w:r>
      <w:r>
        <w:rPr>
          <w:rStyle w:val="65"/>
          <w:rFonts w:hint="eastAsia" w:ascii="方正仿宋_GBK" w:hAnsi="宋体" w:eastAsia="方正仿宋_GBK"/>
        </w:rPr>
        <w:t>索赔</w:t>
      </w:r>
      <w:r>
        <w:tab/>
      </w:r>
      <w:r>
        <w:fldChar w:fldCharType="begin"/>
      </w:r>
      <w:r>
        <w:instrText xml:space="preserve"> PAGEREF _Toc42600961 \h </w:instrText>
      </w:r>
      <w:r>
        <w:fldChar w:fldCharType="separate"/>
      </w:r>
      <w:r>
        <w:t>- 26 -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"_Toc42600962" </w:instrText>
      </w:r>
      <w:r>
        <w:fldChar w:fldCharType="separate"/>
      </w:r>
      <w:r>
        <w:rPr>
          <w:rStyle w:val="65"/>
          <w:rFonts w:ascii="方正仿宋_GBK" w:hAnsi="宋体" w:eastAsia="方正仿宋_GBK"/>
        </w:rPr>
        <w:t>9.</w:t>
      </w:r>
      <w:r>
        <w:rPr>
          <w:rStyle w:val="65"/>
          <w:rFonts w:hint="eastAsia" w:ascii="方正仿宋_GBK" w:hAnsi="宋体" w:eastAsia="方正仿宋_GBK"/>
        </w:rPr>
        <w:t>知识产权</w:t>
      </w:r>
      <w:r>
        <w:tab/>
      </w:r>
      <w:r>
        <w:fldChar w:fldCharType="begin"/>
      </w:r>
      <w:r>
        <w:instrText xml:space="preserve"> PAGEREF _Toc42600962 \h </w:instrText>
      </w:r>
      <w:r>
        <w:fldChar w:fldCharType="separate"/>
      </w:r>
      <w:r>
        <w:t>- 26 -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"_Toc42600963" </w:instrText>
      </w:r>
      <w:r>
        <w:fldChar w:fldCharType="separate"/>
      </w:r>
      <w:r>
        <w:rPr>
          <w:rStyle w:val="65"/>
          <w:rFonts w:ascii="方正仿宋_GBK" w:hAnsi="宋体" w:eastAsia="方正仿宋_GBK"/>
        </w:rPr>
        <w:t>10.</w:t>
      </w:r>
      <w:r>
        <w:rPr>
          <w:rStyle w:val="65"/>
          <w:rFonts w:hint="eastAsia" w:ascii="方正仿宋_GBK" w:hAnsi="宋体" w:eastAsia="方正仿宋_GBK"/>
        </w:rPr>
        <w:t>合同争议的解决</w:t>
      </w:r>
      <w:r>
        <w:tab/>
      </w:r>
      <w:r>
        <w:fldChar w:fldCharType="begin"/>
      </w:r>
      <w:r>
        <w:instrText xml:space="preserve"> PAGEREF _Toc42600963 \h </w:instrText>
      </w:r>
      <w:r>
        <w:fldChar w:fldCharType="separate"/>
      </w:r>
      <w:r>
        <w:t>- 27 -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"_Toc42600964" </w:instrText>
      </w:r>
      <w:r>
        <w:fldChar w:fldCharType="separate"/>
      </w:r>
      <w:r>
        <w:rPr>
          <w:rStyle w:val="65"/>
          <w:rFonts w:ascii="方正仿宋_GBK" w:hAnsi="宋体" w:eastAsia="方正仿宋_GBK"/>
        </w:rPr>
        <w:t>11.</w:t>
      </w:r>
      <w:r>
        <w:rPr>
          <w:rStyle w:val="65"/>
          <w:rFonts w:hint="eastAsia" w:ascii="方正仿宋_GBK" w:hAnsi="宋体" w:eastAsia="方正仿宋_GBK"/>
        </w:rPr>
        <w:t>违约责任</w:t>
      </w:r>
      <w:r>
        <w:tab/>
      </w:r>
      <w:r>
        <w:fldChar w:fldCharType="begin"/>
      </w:r>
      <w:r>
        <w:instrText xml:space="preserve"> PAGEREF _Toc42600964 \h </w:instrText>
      </w:r>
      <w:r>
        <w:fldChar w:fldCharType="separate"/>
      </w:r>
      <w:r>
        <w:t>- 27 -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"_Toc42600965" </w:instrText>
      </w:r>
      <w:r>
        <w:fldChar w:fldCharType="separate"/>
      </w:r>
      <w:r>
        <w:rPr>
          <w:rStyle w:val="65"/>
          <w:rFonts w:ascii="方正仿宋_GBK" w:hAnsi="宋体" w:eastAsia="方正仿宋_GBK"/>
        </w:rPr>
        <w:t>12.</w:t>
      </w:r>
      <w:r>
        <w:rPr>
          <w:rStyle w:val="65"/>
          <w:rFonts w:hint="eastAsia" w:ascii="方正仿宋_GBK" w:hAnsi="宋体" w:eastAsia="方正仿宋_GBK"/>
        </w:rPr>
        <w:t>合同生效及其它</w:t>
      </w:r>
      <w:r>
        <w:tab/>
      </w:r>
      <w:r>
        <w:fldChar w:fldCharType="begin"/>
      </w:r>
      <w:r>
        <w:instrText xml:space="preserve"> PAGEREF _Toc42600965 \h </w:instrText>
      </w:r>
      <w:r>
        <w:fldChar w:fldCharType="separate"/>
      </w:r>
      <w:r>
        <w:t>- 27 -</w:t>
      </w:r>
      <w:r>
        <w:fldChar w:fldCharType="end"/>
      </w:r>
      <w:r>
        <w:fldChar w:fldCharType="end"/>
      </w:r>
    </w:p>
    <w:p>
      <w:pPr>
        <w:pStyle w:val="46"/>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"_Toc42600966" </w:instrText>
      </w:r>
      <w:r>
        <w:fldChar w:fldCharType="separate"/>
      </w:r>
      <w:r>
        <w:rPr>
          <w:rStyle w:val="65"/>
          <w:rFonts w:hint="eastAsia" w:ascii="方正小标宋_GBK" w:hAnsi="宋体" w:eastAsia="方正小标宋_GBK"/>
        </w:rPr>
        <w:t>第七篇投标文件格式</w:t>
      </w:r>
      <w:r>
        <w:tab/>
      </w:r>
      <w:r>
        <w:fldChar w:fldCharType="begin"/>
      </w:r>
      <w:r>
        <w:instrText xml:space="preserve"> PAGEREF _Toc42600966 \h </w:instrText>
      </w:r>
      <w:r>
        <w:fldChar w:fldCharType="separate"/>
      </w:r>
      <w:r>
        <w:t>- 28 -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"_Toc42600967" </w:instrText>
      </w:r>
      <w:r>
        <w:fldChar w:fldCharType="separate"/>
      </w:r>
      <w:r>
        <w:rPr>
          <w:rStyle w:val="65"/>
          <w:rFonts w:hint="eastAsia" w:ascii="方正仿宋_GBK" w:hAnsi="宋体" w:eastAsia="方正仿宋_GBK"/>
        </w:rPr>
        <w:t>一、经济文件</w:t>
      </w:r>
      <w:r>
        <w:tab/>
      </w:r>
      <w:r>
        <w:fldChar w:fldCharType="begin"/>
      </w:r>
      <w:r>
        <w:instrText xml:space="preserve"> PAGEREF _Toc42600967 \h </w:instrText>
      </w:r>
      <w:r>
        <w:fldChar w:fldCharType="separate"/>
      </w:r>
      <w:r>
        <w:t>- 28 -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"_Toc42600968" </w:instrText>
      </w:r>
      <w:r>
        <w:fldChar w:fldCharType="separate"/>
      </w:r>
      <w:r>
        <w:rPr>
          <w:rStyle w:val="65"/>
          <w:rFonts w:hint="eastAsia" w:ascii="方正仿宋_GBK" w:hAnsi="宋体" w:eastAsia="方正仿宋_GBK"/>
        </w:rPr>
        <w:t>二、技术文件</w:t>
      </w:r>
      <w:r>
        <w:tab/>
      </w:r>
      <w:r>
        <w:fldChar w:fldCharType="begin"/>
      </w:r>
      <w:r>
        <w:instrText xml:space="preserve"> PAGEREF _Toc42600968 \h </w:instrText>
      </w:r>
      <w:r>
        <w:fldChar w:fldCharType="separate"/>
      </w:r>
      <w:r>
        <w:t>- 30 -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"_Toc42600969" </w:instrText>
      </w:r>
      <w:r>
        <w:fldChar w:fldCharType="separate"/>
      </w:r>
      <w:r>
        <w:rPr>
          <w:rStyle w:val="65"/>
          <w:rFonts w:hint="eastAsia" w:ascii="方正仿宋_GBK" w:hAnsi="宋体" w:eastAsia="方正仿宋_GBK"/>
        </w:rPr>
        <w:t>三、商务文件</w:t>
      </w:r>
      <w:r>
        <w:tab/>
      </w:r>
      <w:r>
        <w:fldChar w:fldCharType="begin"/>
      </w:r>
      <w:r>
        <w:instrText xml:space="preserve"> PAGEREF _Toc42600969 \h </w:instrText>
      </w:r>
      <w:r>
        <w:fldChar w:fldCharType="separate"/>
      </w:r>
      <w:r>
        <w:t>- 32 -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"_Toc42600970" </w:instrText>
      </w:r>
      <w:r>
        <w:fldChar w:fldCharType="separate"/>
      </w:r>
      <w:r>
        <w:rPr>
          <w:rStyle w:val="65"/>
          <w:rFonts w:hint="eastAsia" w:ascii="方正仿宋_GBK" w:hAnsi="宋体" w:eastAsia="方正仿宋_GBK"/>
        </w:rPr>
        <w:t>四、其他</w:t>
      </w:r>
      <w:r>
        <w:tab/>
      </w:r>
      <w:r>
        <w:fldChar w:fldCharType="begin"/>
      </w:r>
      <w:r>
        <w:instrText xml:space="preserve"> PAGEREF _Toc42600970 \h </w:instrText>
      </w:r>
      <w:r>
        <w:fldChar w:fldCharType="separate"/>
      </w:r>
      <w:r>
        <w:t>- 35 -</w:t>
      </w:r>
      <w:r>
        <w:fldChar w:fldCharType="end"/>
      </w:r>
      <w:r>
        <w:fldChar w:fldCharType="end"/>
      </w:r>
    </w:p>
    <w:p>
      <w:pPr>
        <w:pStyle w:val="30"/>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"_Toc42600971" </w:instrText>
      </w:r>
      <w:r>
        <w:fldChar w:fldCharType="separate"/>
      </w:r>
      <w:r>
        <w:rPr>
          <w:rStyle w:val="65"/>
          <w:rFonts w:hint="eastAsia" w:ascii="方正仿宋_GBK" w:hAnsi="宋体" w:eastAsia="方正仿宋_GBK"/>
        </w:rPr>
        <w:t>五、资格文件</w:t>
      </w:r>
      <w:r>
        <w:tab/>
      </w:r>
      <w:r>
        <w:fldChar w:fldCharType="begin"/>
      </w:r>
      <w:r>
        <w:instrText xml:space="preserve"> PAGEREF _Toc42600971 \h </w:instrText>
      </w:r>
      <w:r>
        <w:fldChar w:fldCharType="separate"/>
      </w:r>
      <w:r>
        <w:t>- 41 -</w:t>
      </w:r>
      <w:r>
        <w:fldChar w:fldCharType="end"/>
      </w:r>
      <w:r>
        <w:fldChar w:fldCharType="end"/>
      </w:r>
    </w:p>
    <w:p>
      <w:pPr>
        <w:pStyle w:val="46"/>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szCs w:val="21"/>
        </w:rPr>
        <w:fldChar w:fldCharType="end"/>
      </w:r>
    </w:p>
    <w:p>
      <w:pPr>
        <w:pStyle w:val="3"/>
        <w:spacing w:line="360" w:lineRule="auto"/>
        <w:jc w:val="center"/>
        <w:rPr>
          <w:rFonts w:ascii="方正小标宋_GBK" w:hAnsi="宋体" w:eastAsia="方正小标宋_GBK"/>
          <w:b w:val="0"/>
          <w:szCs w:val="30"/>
        </w:rPr>
      </w:pPr>
      <w:bookmarkStart w:id="0" w:name="_Toc12789052"/>
      <w:bookmarkStart w:id="1" w:name="_Toc11641050"/>
      <w:bookmarkStart w:id="2" w:name="_Toc42600917"/>
      <w:r>
        <w:rPr>
          <w:rFonts w:hint="eastAsia" w:ascii="方正小标宋_GBK" w:hAnsi="宋体" w:eastAsia="方正小标宋_GBK"/>
          <w:b w:val="0"/>
          <w:sz w:val="36"/>
          <w:szCs w:val="30"/>
        </w:rPr>
        <w:t>第一篇  投标邀请书</w:t>
      </w:r>
      <w:bookmarkEnd w:id="0"/>
      <w:bookmarkEnd w:id="1"/>
      <w:bookmarkEnd w:id="2"/>
    </w:p>
    <w:p>
      <w:pPr>
        <w:snapToGrid w:val="0"/>
        <w:spacing w:line="400" w:lineRule="exact"/>
        <w:ind w:left="140" w:leftChars="50" w:firstLine="480" w:firstLineChars="200"/>
        <w:rPr>
          <w:rFonts w:ascii="方正仿宋_GBK" w:hAnsi="宋体" w:eastAsia="方正仿宋_GBK"/>
          <w:color w:val="000000" w:themeColor="text1"/>
          <w:sz w:val="24"/>
          <w:szCs w:val="24"/>
        </w:rPr>
      </w:pPr>
      <w:r>
        <w:rPr>
          <w:rFonts w:hint="eastAsia" w:ascii="方正仿宋_GBK" w:hAnsi="宋体" w:eastAsia="方正仿宋_GBK"/>
          <w:sz w:val="24"/>
          <w:szCs w:val="24"/>
        </w:rPr>
        <w:t>重庆海联职业技术学院招标办（以下简称：采购代理机构）接受重庆海联职业技术学院的委托，对</w:t>
      </w:r>
      <w:r>
        <w:rPr>
          <w:rFonts w:hint="eastAsia" w:ascii="方正仿宋_GBK" w:hAnsi="宋体" w:eastAsia="方正仿宋_GBK"/>
          <w:color w:val="000000" w:themeColor="text1"/>
          <w:sz w:val="24"/>
          <w:szCs w:val="24"/>
        </w:rPr>
        <w:t>重庆海联职业技术学院智能网联汽车实训室建设项目进行公开招标。欢迎有资的供应商前来参加投标。</w:t>
      </w:r>
    </w:p>
    <w:p>
      <w:pPr>
        <w:pStyle w:val="4"/>
        <w:spacing w:before="0" w:after="0" w:line="400" w:lineRule="exact"/>
        <w:rPr>
          <w:rFonts w:ascii="方正仿宋_GBK" w:eastAsia="方正仿宋_GBK"/>
          <w:color w:val="000000" w:themeColor="text1"/>
          <w:sz w:val="24"/>
          <w:szCs w:val="24"/>
        </w:rPr>
      </w:pPr>
      <w:bookmarkStart w:id="3" w:name="_Toc313893526"/>
      <w:bookmarkStart w:id="4" w:name="_Toc317775175"/>
      <w:bookmarkStart w:id="5" w:name="_Toc42600918"/>
      <w:r>
        <w:rPr>
          <w:rFonts w:hint="eastAsia" w:ascii="方正仿宋_GBK" w:eastAsia="方正仿宋_GBK"/>
          <w:color w:val="000000" w:themeColor="text1"/>
          <w:sz w:val="24"/>
          <w:szCs w:val="24"/>
        </w:rPr>
        <w:t>一、</w:t>
      </w:r>
      <w:bookmarkEnd w:id="3"/>
      <w:bookmarkEnd w:id="4"/>
      <w:r>
        <w:rPr>
          <w:rFonts w:hint="eastAsia" w:ascii="方正仿宋_GBK" w:eastAsia="方正仿宋_GBK"/>
          <w:color w:val="000000" w:themeColor="text1"/>
          <w:sz w:val="24"/>
          <w:szCs w:val="24"/>
        </w:rPr>
        <w:t>投标项目内容</w:t>
      </w:r>
      <w:bookmarkEnd w:id="5"/>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1469"/>
        <w:gridCol w:w="141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3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项目名称</w:t>
            </w:r>
          </w:p>
        </w:tc>
        <w:tc>
          <w:tcPr>
            <w:tcW w:w="146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预算金额</w:t>
            </w:r>
          </w:p>
          <w:p>
            <w:pPr>
              <w:jc w:val="center"/>
              <w:rPr>
                <w:rFonts w:ascii="方正仿宋_GBK" w:hAnsi="宋体" w:eastAsia="方正仿宋_GBK" w:cs="宋体"/>
                <w:b/>
                <w:bCs/>
                <w:color w:val="000000" w:themeColor="text1"/>
                <w:kern w:val="0"/>
                <w:sz w:val="21"/>
                <w:szCs w:val="24"/>
              </w:rPr>
            </w:pPr>
            <w:r>
              <w:rPr>
                <w:rFonts w:hint="eastAsia" w:ascii="方正仿宋_GBK" w:hAnsi="宋体" w:eastAsia="方正仿宋_GBK"/>
                <w:b/>
                <w:color w:val="000000" w:themeColor="text1"/>
                <w:sz w:val="21"/>
                <w:szCs w:val="21"/>
              </w:rPr>
              <w:t>（万元）</w:t>
            </w:r>
          </w:p>
        </w:tc>
        <w:tc>
          <w:tcPr>
            <w:tcW w:w="1410" w:type="dxa"/>
            <w:tcBorders>
              <w:top w:val="single" w:color="auto" w:sz="4" w:space="0"/>
              <w:left w:val="single" w:color="auto" w:sz="4" w:space="0"/>
              <w:right w:val="single" w:color="auto" w:sz="4" w:space="0"/>
            </w:tcBorders>
          </w:tcPr>
          <w:p>
            <w:pPr>
              <w:pStyle w:val="24"/>
              <w:spacing w:line="240" w:lineRule="auto"/>
              <w:ind w:left="0"/>
              <w:jc w:val="center"/>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中标人数量</w:t>
            </w:r>
          </w:p>
          <w:p>
            <w:pPr>
              <w:pStyle w:val="24"/>
              <w:spacing w:line="240" w:lineRule="auto"/>
              <w:ind w:left="0"/>
              <w:jc w:val="center"/>
              <w:outlineLvl w:val="0"/>
              <w:rPr>
                <w:rFonts w:ascii="方正仿宋_GBK" w:hAnsi="宋体" w:eastAsia="方正仿宋_GBK" w:cs="宋体"/>
                <w:b/>
                <w:bCs/>
                <w:color w:val="000000" w:themeColor="text1"/>
                <w:kern w:val="0"/>
                <w:sz w:val="21"/>
                <w:szCs w:val="24"/>
              </w:rPr>
            </w:pPr>
            <w:r>
              <w:rPr>
                <w:rFonts w:hint="eastAsia" w:ascii="方正仿宋_GBK" w:hAnsi="宋体" w:eastAsia="方正仿宋_GBK"/>
                <w:b/>
                <w:color w:val="000000" w:themeColor="text1"/>
                <w:sz w:val="21"/>
                <w:szCs w:val="21"/>
              </w:rPr>
              <w:t>（名）</w:t>
            </w:r>
          </w:p>
        </w:tc>
        <w:tc>
          <w:tcPr>
            <w:tcW w:w="311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widowControl/>
              <w:ind w:firstLine="525" w:firstLineChars="250"/>
              <w:rPr>
                <w:rFonts w:ascii="方正仿宋_GBK" w:hAnsi="宋体" w:eastAsia="方正仿宋_GBK"/>
                <w:color w:val="000000" w:themeColor="text1"/>
                <w:sz w:val="21"/>
                <w:szCs w:val="21"/>
              </w:rPr>
            </w:pPr>
            <w:bookmarkStart w:id="6" w:name="_Hlk344477914"/>
            <w:r>
              <w:rPr>
                <w:rFonts w:hint="eastAsia" w:ascii="方正仿宋_GBK" w:hAnsi="宋体" w:eastAsia="方正仿宋_GBK"/>
                <w:color w:val="000000" w:themeColor="text1"/>
                <w:sz w:val="21"/>
                <w:szCs w:val="21"/>
              </w:rPr>
              <w:t>重庆海联职业技术学院</w:t>
            </w:r>
          </w:p>
          <w:p>
            <w:pPr>
              <w:widowControl/>
              <w:jc w:val="cente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智能网联汽车实训室建设项目</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b/>
                <w:bCs/>
                <w:color w:val="000000" w:themeColor="text1"/>
                <w:sz w:val="21"/>
                <w:szCs w:val="21"/>
              </w:rPr>
            </w:pPr>
            <w:r>
              <w:rPr>
                <w:rFonts w:hint="eastAsia" w:ascii="方正仿宋_GBK" w:hAnsi="宋体" w:eastAsia="方正仿宋_GBK"/>
                <w:color w:val="000000" w:themeColor="text1"/>
                <w:sz w:val="21"/>
                <w:szCs w:val="21"/>
              </w:rPr>
              <w:t>38</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rPr>
            </w:pPr>
            <w:r>
              <w:rPr>
                <w:rFonts w:ascii="方正仿宋_GBK" w:hAnsi="宋体" w:eastAsia="方正仿宋_GBK"/>
                <w:color w:val="000000" w:themeColor="text1"/>
                <w:sz w:val="21"/>
                <w:szCs w:val="21"/>
              </w:rPr>
              <w:t>1</w:t>
            </w:r>
          </w:p>
        </w:tc>
        <w:tc>
          <w:tcPr>
            <w:tcW w:w="31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rPr>
            </w:pPr>
          </w:p>
        </w:tc>
      </w:tr>
      <w:bookmarkEnd w:id="6"/>
    </w:tbl>
    <w:p>
      <w:pPr>
        <w:pStyle w:val="4"/>
        <w:spacing w:before="0" w:after="0" w:line="400" w:lineRule="exact"/>
        <w:rPr>
          <w:rFonts w:ascii="方正仿宋_GBK" w:eastAsia="方正仿宋_GBK"/>
          <w:sz w:val="24"/>
          <w:szCs w:val="24"/>
        </w:rPr>
      </w:pPr>
      <w:bookmarkStart w:id="7" w:name="_Toc42600919"/>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学院自筹资金。</w:t>
      </w:r>
    </w:p>
    <w:p>
      <w:pPr>
        <w:pStyle w:val="4"/>
        <w:spacing w:before="0" w:after="0" w:line="400" w:lineRule="exact"/>
        <w:rPr>
          <w:rFonts w:ascii="方正仿宋_GBK" w:eastAsia="方正仿宋_GBK"/>
          <w:sz w:val="24"/>
          <w:szCs w:val="24"/>
        </w:rPr>
      </w:pPr>
      <w:bookmarkStart w:id="10" w:name="_Toc42600920"/>
      <w:r>
        <w:rPr>
          <w:rFonts w:hint="eastAsia" w:ascii="方正仿宋_GBK" w:eastAsia="方正仿宋_GBK"/>
          <w:sz w:val="24"/>
          <w:szCs w:val="24"/>
        </w:rPr>
        <w:t>三、投标人资格要求</w:t>
      </w:r>
      <w:bookmarkEnd w:id="10"/>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pPr>
        <w:pStyle w:val="4"/>
        <w:spacing w:before="0" w:after="0" w:line="480" w:lineRule="exact"/>
        <w:rPr>
          <w:rFonts w:ascii="方正仿宋_GBK" w:eastAsia="方正仿宋_GBK"/>
          <w:sz w:val="24"/>
          <w:szCs w:val="24"/>
        </w:rPr>
      </w:pPr>
      <w:bookmarkStart w:id="11" w:name="_Toc42600921"/>
      <w:r>
        <w:rPr>
          <w:rFonts w:hint="eastAsia" w:ascii="方正仿宋_GBK" w:eastAsia="方正仿宋_GBK"/>
          <w:sz w:val="24"/>
          <w:szCs w:val="24"/>
        </w:rPr>
        <w:t>四、投标、开标有关说明</w:t>
      </w:r>
      <w:bookmarkEnd w:id="8"/>
      <w:bookmarkEnd w:id="11"/>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供应商，请到采购代理机构领取或在重庆海联职业技术学院官网（http://www.hailian.cn）下载本项目招标文件以及图纸、补遗等开标前公布的所有项目资料，无论供应商下载或领取与否，均视为已知晓所有招标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（二）按《重庆市财政局关于进一步规范投标报名及保证金缴纳的通知》（渝财采购﹝2013﹞30号）文的规定，报名方式为投标当天现场报名。</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（三）招标文件公告期限：自采购公告发布之日（2024年1月</w:t>
      </w:r>
      <w:r>
        <w:rPr>
          <w:rFonts w:hint="eastAsia" w:ascii="方正仿宋_GBK" w:hAnsi="宋体" w:eastAsia="方正仿宋_GBK"/>
          <w:sz w:val="24"/>
          <w:szCs w:val="24"/>
          <w:u w:val="single"/>
        </w:rPr>
        <w:t xml:space="preserve"> 2 </w:t>
      </w:r>
      <w:r>
        <w:rPr>
          <w:rFonts w:hint="eastAsia" w:ascii="方正仿宋_GBK" w:hAnsi="宋体" w:eastAsia="方正仿宋_GBK"/>
          <w:sz w:val="24"/>
          <w:szCs w:val="24"/>
        </w:rPr>
        <w:t>日）起5个工作日。</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（四）报名及招标文件发售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1.报名和</w:t>
      </w:r>
      <w:bookmarkStart w:id="12" w:name="OLE_LINK6"/>
      <w:bookmarkStart w:id="13" w:name="OLE_LINK5"/>
      <w:r>
        <w:rPr>
          <w:rFonts w:hint="eastAsia" w:ascii="方正仿宋_GBK" w:hAnsi="宋体" w:eastAsia="方正仿宋_GBK"/>
          <w:sz w:val="24"/>
          <w:szCs w:val="24"/>
        </w:rPr>
        <w:t>招标文件</w:t>
      </w:r>
      <w:bookmarkEnd w:id="12"/>
      <w:bookmarkEnd w:id="13"/>
      <w:r>
        <w:rPr>
          <w:rFonts w:hint="eastAsia" w:ascii="方正仿宋_GBK" w:hAnsi="宋体" w:eastAsia="方正仿宋_GBK"/>
          <w:sz w:val="24"/>
          <w:szCs w:val="24"/>
        </w:rPr>
        <w:t>发售</w:t>
      </w:r>
      <w:r>
        <w:rPr>
          <w:rFonts w:hint="eastAsia" w:ascii="方正仿宋_GBK" w:hAnsi="宋体" w:eastAsia="方正仿宋_GBK"/>
          <w:color w:val="000000" w:themeColor="text1"/>
          <w:sz w:val="24"/>
          <w:szCs w:val="24"/>
        </w:rPr>
        <w:t>期：</w:t>
      </w:r>
      <w:r>
        <w:rPr>
          <w:rFonts w:ascii="方正仿宋_GBK" w:hAnsi="宋体" w:eastAsia="方正仿宋_GBK"/>
          <w:color w:val="000000" w:themeColor="text1"/>
          <w:sz w:val="24"/>
          <w:szCs w:val="24"/>
        </w:rPr>
        <w:t>202</w:t>
      </w:r>
      <w:r>
        <w:rPr>
          <w:rFonts w:hint="eastAsia" w:ascii="方正仿宋_GBK" w:hAnsi="宋体" w:eastAsia="方正仿宋_GBK"/>
          <w:color w:val="000000" w:themeColor="text1"/>
          <w:sz w:val="24"/>
          <w:szCs w:val="24"/>
        </w:rPr>
        <w:t>4年1月</w:t>
      </w:r>
      <w:r>
        <w:rPr>
          <w:rFonts w:hint="eastAsia" w:ascii="方正仿宋_GBK" w:hAnsi="宋体" w:eastAsia="方正仿宋_GBK"/>
          <w:color w:val="000000" w:themeColor="text1"/>
          <w:sz w:val="24"/>
          <w:szCs w:val="24"/>
          <w:u w:val="single"/>
        </w:rPr>
        <w:t>2</w:t>
      </w:r>
      <w:r>
        <w:rPr>
          <w:rFonts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日</w:t>
      </w:r>
      <w:r>
        <w:rPr>
          <w:rFonts w:ascii="方正仿宋_GBK" w:hAnsi="宋体" w:eastAsia="方正仿宋_GBK"/>
          <w:color w:val="000000" w:themeColor="text1"/>
          <w:sz w:val="24"/>
          <w:szCs w:val="24"/>
        </w:rPr>
        <w:t>-202</w:t>
      </w:r>
      <w:r>
        <w:rPr>
          <w:rFonts w:hint="eastAsia" w:ascii="方正仿宋_GBK" w:hAnsi="宋体" w:eastAsia="方正仿宋_GBK"/>
          <w:color w:val="000000" w:themeColor="text1"/>
          <w:sz w:val="24"/>
          <w:szCs w:val="24"/>
        </w:rPr>
        <w:t>4年1月</w:t>
      </w:r>
      <w:r>
        <w:rPr>
          <w:rFonts w:hint="eastAsia" w:ascii="方正仿宋_GBK" w:hAnsi="宋体" w:eastAsia="方正仿宋_GBK"/>
          <w:color w:val="000000" w:themeColor="text1"/>
          <w:sz w:val="24"/>
          <w:szCs w:val="24"/>
          <w:u w:val="single"/>
        </w:rPr>
        <w:t>9</w:t>
      </w:r>
      <w:r>
        <w:rPr>
          <w:rFonts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日1</w:t>
      </w:r>
      <w:r>
        <w:rPr>
          <w:rFonts w:hint="eastAsia" w:ascii="方正仿宋_GBK" w:hAnsi="宋体" w:eastAsia="方正仿宋_GBK"/>
          <w:sz w:val="24"/>
          <w:szCs w:val="24"/>
        </w:rPr>
        <w:t>7:0</w:t>
      </w:r>
      <w:r>
        <w:rPr>
          <w:rFonts w:hint="eastAsia" w:ascii="方正仿宋_GBK" w:hAnsi="宋体" w:eastAsia="方正仿宋_GBK"/>
          <w:color w:val="000000" w:themeColor="text1"/>
          <w:sz w:val="24"/>
          <w:szCs w:val="24"/>
        </w:rPr>
        <w:t>0（工作</w:t>
      </w:r>
      <w:r>
        <w:rPr>
          <w:rFonts w:hint="eastAsia" w:ascii="方正仿宋_GBK" w:hAnsi="宋体" w:eastAsia="方正仿宋_GBK"/>
          <w:sz w:val="24"/>
          <w:szCs w:val="24"/>
        </w:rPr>
        <w:t>时间）</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2.招标文件售价：人民币300元/份（售后不退）。</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2.1招标文件购买方式：现金购买</w:t>
      </w:r>
    </w:p>
    <w:p>
      <w:pPr>
        <w:spacing w:line="400" w:lineRule="exact"/>
        <w:ind w:left="420" w:leftChars="150" w:firstLine="120" w:firstLineChars="50"/>
        <w:rPr>
          <w:rFonts w:ascii="方正仿宋_GBK" w:hAnsi="宋体" w:eastAsia="方正仿宋_GBK"/>
          <w:sz w:val="24"/>
          <w:szCs w:val="24"/>
        </w:rPr>
      </w:pPr>
      <w:r>
        <w:rPr>
          <w:rFonts w:hint="eastAsia" w:ascii="方正仿宋_GBK" w:hAnsi="宋体" w:eastAsia="方正仿宋_GBK"/>
          <w:sz w:val="24"/>
          <w:szCs w:val="24"/>
        </w:rPr>
        <w:t>在招标文件发售期内，投标人到重庆市沙坪坝区童家桥街道壮志路2号重庆海联职业技术学院招投标采购办公室，购买招标文件。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3.在报名和招标文件发售期内购买了招标文件的投标人，其报名才被接收。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4.对微型企业的优惠</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4.1投标人为微型企业且所投标产品为微型企业生产的免收招标文件购买费。</w:t>
      </w:r>
    </w:p>
    <w:p>
      <w:pPr>
        <w:spacing w:line="400" w:lineRule="exact"/>
        <w:ind w:left="280" w:leftChars="100" w:firstLine="240" w:firstLineChars="100"/>
        <w:rPr>
          <w:rFonts w:ascii="方正仿宋_GBK" w:hAnsi="宋体" w:eastAsia="方正仿宋_GBK"/>
          <w:sz w:val="24"/>
          <w:szCs w:val="24"/>
        </w:rPr>
      </w:pPr>
      <w:r>
        <w:rPr>
          <w:rFonts w:hint="eastAsia" w:ascii="方正仿宋_GBK" w:hAnsi="宋体" w:eastAsia="方正仿宋_GBK"/>
          <w:sz w:val="24"/>
          <w:szCs w:val="24"/>
        </w:rPr>
        <w:t>4.2微型企业须在报名时提供企业所在地的县级以上中小企业主管部门本年度出具的证明文件复印件和书面承诺书（详见第七篇 四、其他“小微企业声明函”）（微型企业的认定标准详见工信部联企业〔2011〕300号）。</w:t>
      </w:r>
    </w:p>
    <w:p>
      <w:pPr>
        <w:spacing w:line="480" w:lineRule="exact"/>
        <w:ind w:left="280" w:leftChars="100" w:firstLine="240" w:firstLineChars="100"/>
        <w:rPr>
          <w:rFonts w:ascii="方正仿宋_GBK" w:hAnsi="宋体" w:eastAsia="方正仿宋_GBK"/>
          <w:sz w:val="24"/>
          <w:szCs w:val="24"/>
        </w:rPr>
      </w:pPr>
      <w:r>
        <w:rPr>
          <w:rFonts w:hint="eastAsia" w:ascii="方正仿宋_GBK" w:hAnsi="宋体" w:eastAsia="方正仿宋_GBK"/>
          <w:sz w:val="24"/>
          <w:szCs w:val="24"/>
        </w:rPr>
        <w:t>4.3若微型企业所投产品不是微型企业生产，又未按照本招标文件规定进行报名和购买招标文件的，其报名和投标无效。</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（五）供应商须满足以下二种要件，其响应文件才被接受：</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（六）投标地点：重庆市沙坪坝区童家桥街道壮志路2号（重庆海联职业技术学院后勤与资产管理处）</w:t>
      </w:r>
    </w:p>
    <w:p>
      <w:pPr>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sz w:val="24"/>
          <w:szCs w:val="24"/>
        </w:rPr>
        <w:t>（七）投标截止</w:t>
      </w:r>
      <w:r>
        <w:rPr>
          <w:rFonts w:hint="eastAsia" w:ascii="方正仿宋_GBK" w:hAnsi="宋体" w:eastAsia="方正仿宋_GBK"/>
          <w:color w:val="000000" w:themeColor="text1"/>
          <w:sz w:val="24"/>
          <w:szCs w:val="24"/>
        </w:rPr>
        <w:t>时间：</w:t>
      </w:r>
      <w:r>
        <w:rPr>
          <w:rFonts w:ascii="方正仿宋_GBK" w:hAnsi="宋体" w:eastAsia="方正仿宋_GBK"/>
          <w:color w:val="000000" w:themeColor="text1"/>
          <w:sz w:val="24"/>
          <w:szCs w:val="24"/>
        </w:rPr>
        <w:t>2024</w:t>
      </w:r>
      <w:r>
        <w:rPr>
          <w:rFonts w:hint="eastAsia" w:ascii="方正仿宋_GBK" w:hAnsi="宋体" w:eastAsia="方正仿宋_GBK"/>
          <w:color w:val="000000" w:themeColor="text1"/>
          <w:sz w:val="24"/>
          <w:szCs w:val="24"/>
        </w:rPr>
        <w:t>年</w:t>
      </w:r>
      <w:r>
        <w:rPr>
          <w:rFonts w:ascii="方正仿宋_GBK" w:hAnsi="宋体" w:eastAsia="方正仿宋_GBK"/>
          <w:color w:val="000000" w:themeColor="text1"/>
          <w:sz w:val="24"/>
          <w:szCs w:val="24"/>
        </w:rPr>
        <w:t>1</w:t>
      </w:r>
      <w:r>
        <w:rPr>
          <w:rFonts w:hint="eastAsia" w:ascii="方正仿宋_GBK" w:hAnsi="宋体" w:eastAsia="方正仿宋_GBK"/>
          <w:color w:val="000000" w:themeColor="text1"/>
          <w:sz w:val="24"/>
          <w:szCs w:val="24"/>
        </w:rPr>
        <w:t>月</w:t>
      </w:r>
      <w:r>
        <w:rPr>
          <w:rFonts w:ascii="方正仿宋_GBK" w:hAnsi="宋体" w:eastAsia="方正仿宋_GBK"/>
          <w:color w:val="000000" w:themeColor="text1"/>
          <w:sz w:val="24"/>
          <w:szCs w:val="24"/>
          <w:u w:val="single"/>
        </w:rPr>
        <w:t xml:space="preserve"> 1</w:t>
      </w:r>
      <w:r>
        <w:rPr>
          <w:rFonts w:hint="eastAsia" w:ascii="方正仿宋_GBK" w:hAnsi="宋体" w:eastAsia="方正仿宋_GBK"/>
          <w:color w:val="000000" w:themeColor="text1"/>
          <w:sz w:val="24"/>
          <w:szCs w:val="24"/>
          <w:u w:val="single"/>
        </w:rPr>
        <w:t>5</w:t>
      </w:r>
      <w:r>
        <w:rPr>
          <w:rFonts w:hint="eastAsia" w:ascii="方正仿宋_GBK" w:hAnsi="宋体" w:eastAsia="方正仿宋_GBK"/>
          <w:color w:val="000000" w:themeColor="text1"/>
          <w:sz w:val="24"/>
          <w:szCs w:val="24"/>
        </w:rPr>
        <w:t>日北京时间上午</w:t>
      </w:r>
      <w:r>
        <w:rPr>
          <w:rFonts w:ascii="方正仿宋_GBK" w:hAnsi="宋体" w:eastAsia="方正仿宋_GBK"/>
          <w:color w:val="000000" w:themeColor="text1"/>
          <w:sz w:val="24"/>
          <w:szCs w:val="24"/>
        </w:rPr>
        <w:t>10</w:t>
      </w:r>
      <w:r>
        <w:rPr>
          <w:rFonts w:hint="eastAsia" w:ascii="方正仿宋_GBK" w:hAnsi="宋体" w:eastAsia="方正仿宋_GBK"/>
          <w:color w:val="000000" w:themeColor="text1"/>
          <w:sz w:val="24"/>
          <w:szCs w:val="24"/>
        </w:rPr>
        <w:t>：</w:t>
      </w:r>
      <w:r>
        <w:rPr>
          <w:rFonts w:ascii="方正仿宋_GBK" w:hAnsi="宋体" w:eastAsia="方正仿宋_GBK"/>
          <w:color w:val="000000" w:themeColor="text1"/>
          <w:sz w:val="24"/>
          <w:szCs w:val="24"/>
        </w:rPr>
        <w:t>00</w:t>
      </w:r>
      <w:r>
        <w:rPr>
          <w:rFonts w:hint="eastAsia" w:ascii="方正仿宋_GBK" w:hAnsi="宋体" w:eastAsia="方正仿宋_GBK"/>
          <w:color w:val="000000" w:themeColor="text1"/>
          <w:sz w:val="24"/>
          <w:szCs w:val="24"/>
        </w:rPr>
        <w:t>钟</w:t>
      </w:r>
    </w:p>
    <w:p>
      <w:pPr>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（八）开标时间：</w:t>
      </w:r>
      <w:r>
        <w:rPr>
          <w:rFonts w:ascii="方正仿宋_GBK" w:hAnsi="宋体" w:eastAsia="方正仿宋_GBK"/>
          <w:color w:val="000000" w:themeColor="text1"/>
          <w:sz w:val="24"/>
          <w:szCs w:val="24"/>
        </w:rPr>
        <w:t>2024</w:t>
      </w:r>
      <w:r>
        <w:rPr>
          <w:rFonts w:hint="eastAsia" w:ascii="方正仿宋_GBK" w:hAnsi="宋体" w:eastAsia="方正仿宋_GBK"/>
          <w:color w:val="000000" w:themeColor="text1"/>
          <w:sz w:val="24"/>
          <w:szCs w:val="24"/>
        </w:rPr>
        <w:t>年</w:t>
      </w:r>
      <w:r>
        <w:rPr>
          <w:rFonts w:ascii="方正仿宋_GBK" w:hAnsi="宋体" w:eastAsia="方正仿宋_GBK"/>
          <w:color w:val="000000" w:themeColor="text1"/>
          <w:sz w:val="24"/>
          <w:szCs w:val="24"/>
        </w:rPr>
        <w:t>1</w:t>
      </w:r>
      <w:r>
        <w:rPr>
          <w:rFonts w:hint="eastAsia" w:ascii="方正仿宋_GBK" w:hAnsi="宋体" w:eastAsia="方正仿宋_GBK"/>
          <w:color w:val="000000" w:themeColor="text1"/>
          <w:sz w:val="24"/>
          <w:szCs w:val="24"/>
        </w:rPr>
        <w:t>月</w:t>
      </w:r>
      <w:r>
        <w:rPr>
          <w:rFonts w:ascii="方正仿宋_GBK" w:hAnsi="宋体" w:eastAsia="方正仿宋_GBK"/>
          <w:color w:val="000000" w:themeColor="text1"/>
          <w:sz w:val="24"/>
          <w:szCs w:val="24"/>
          <w:u w:val="single"/>
        </w:rPr>
        <w:t xml:space="preserve"> 1</w:t>
      </w:r>
      <w:r>
        <w:rPr>
          <w:rFonts w:hint="eastAsia" w:ascii="方正仿宋_GBK" w:hAnsi="宋体" w:eastAsia="方正仿宋_GBK"/>
          <w:color w:val="000000" w:themeColor="text1"/>
          <w:sz w:val="24"/>
          <w:szCs w:val="24"/>
          <w:u w:val="single"/>
        </w:rPr>
        <w:t>5</w:t>
      </w:r>
      <w:r>
        <w:rPr>
          <w:rFonts w:hint="eastAsia" w:ascii="方正仿宋_GBK" w:hAnsi="宋体" w:eastAsia="方正仿宋_GBK"/>
          <w:color w:val="000000" w:themeColor="text1"/>
          <w:sz w:val="24"/>
          <w:szCs w:val="24"/>
        </w:rPr>
        <w:t>日北京时间上午</w:t>
      </w:r>
      <w:r>
        <w:rPr>
          <w:rFonts w:ascii="方正仿宋_GBK" w:hAnsi="宋体" w:eastAsia="方正仿宋_GBK"/>
          <w:color w:val="000000" w:themeColor="text1"/>
          <w:sz w:val="24"/>
          <w:szCs w:val="24"/>
        </w:rPr>
        <w:t>10</w:t>
      </w:r>
      <w:r>
        <w:rPr>
          <w:rFonts w:hint="eastAsia" w:ascii="方正仿宋_GBK" w:hAnsi="宋体" w:eastAsia="方正仿宋_GBK"/>
          <w:color w:val="000000" w:themeColor="text1"/>
          <w:sz w:val="24"/>
          <w:szCs w:val="24"/>
        </w:rPr>
        <w:t>：</w:t>
      </w:r>
      <w:r>
        <w:rPr>
          <w:rFonts w:ascii="方正仿宋_GBK" w:hAnsi="宋体" w:eastAsia="方正仿宋_GBK"/>
          <w:color w:val="000000" w:themeColor="text1"/>
          <w:sz w:val="24"/>
          <w:szCs w:val="24"/>
        </w:rPr>
        <w:t>00</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（九）开标地点：同投标地点</w:t>
      </w:r>
    </w:p>
    <w:bookmarkEnd w:id="9"/>
    <w:p>
      <w:pPr>
        <w:pStyle w:val="4"/>
        <w:spacing w:before="0" w:after="0" w:line="380" w:lineRule="exact"/>
        <w:rPr>
          <w:rFonts w:ascii="方正仿宋_GBK" w:eastAsia="方正仿宋_GBK"/>
          <w:sz w:val="24"/>
          <w:szCs w:val="24"/>
        </w:rPr>
      </w:pPr>
      <w:bookmarkStart w:id="14" w:name="_Toc373860294"/>
      <w:bookmarkStart w:id="15" w:name="_Toc525047161"/>
      <w:bookmarkStart w:id="16" w:name="_Toc42600922"/>
      <w:bookmarkStart w:id="17" w:name="_Toc521053053"/>
      <w:r>
        <w:rPr>
          <w:rFonts w:hint="eastAsia" w:ascii="方正仿宋_GBK" w:eastAsia="方正仿宋_GBK"/>
          <w:sz w:val="24"/>
          <w:szCs w:val="24"/>
        </w:rPr>
        <w:t>五、保证金</w:t>
      </w:r>
      <w:bookmarkEnd w:id="14"/>
      <w:bookmarkEnd w:id="15"/>
      <w:bookmarkEnd w:id="16"/>
      <w:bookmarkEnd w:id="1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本次招标不收取保证金</w:t>
      </w:r>
    </w:p>
    <w:p>
      <w:pPr>
        <w:pStyle w:val="4"/>
        <w:spacing w:before="0" w:after="0" w:line="380" w:lineRule="exact"/>
        <w:rPr>
          <w:rFonts w:ascii="方正仿宋_GBK" w:eastAsia="方正仿宋_GBK"/>
          <w:sz w:val="24"/>
          <w:szCs w:val="24"/>
        </w:rPr>
      </w:pPr>
      <w:bookmarkStart w:id="18" w:name="_Toc525047162"/>
      <w:bookmarkStart w:id="19" w:name="_Toc42600923"/>
      <w:bookmarkStart w:id="20" w:name="_Toc479668114"/>
      <w:bookmarkStart w:id="21" w:name="_Toc521053054"/>
      <w:r>
        <w:rPr>
          <w:rFonts w:hint="eastAsia" w:ascii="方正仿宋_GBK" w:eastAsia="方正仿宋_GBK"/>
          <w:sz w:val="24"/>
          <w:szCs w:val="24"/>
        </w:rPr>
        <w:t>六、采购项目需落实的政府采购政策</w:t>
      </w:r>
      <w:bookmarkEnd w:id="18"/>
      <w:bookmarkEnd w:id="19"/>
      <w:bookmarkEnd w:id="20"/>
      <w:bookmarkEnd w:id="21"/>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国家发展改革委关于印发&lt;节能产品政府采购实施意见&gt;的通知》（财库〔2004</w:t>
      </w:r>
      <w:r>
        <w:rPr>
          <w:rFonts w:ascii="方正仿宋_GBK" w:hAnsi="宋体" w:eastAsia="方正仿宋_GBK"/>
          <w:sz w:val="24"/>
          <w:szCs w:val="24"/>
        </w:rPr>
        <w:t>〕</w:t>
      </w:r>
      <w:r>
        <w:rPr>
          <w:rFonts w:hint="eastAsia" w:ascii="方正仿宋_GBK" w:hAnsi="宋体" w:eastAsia="方正仿宋_GBK"/>
          <w:sz w:val="24"/>
          <w:szCs w:val="24"/>
        </w:rPr>
        <w:t>185号）、《财政部 国家环保总局联合印发&lt;关于环境标志产品政府采购实施的意见&gt;》（财库〔2006</w:t>
      </w:r>
      <w:r>
        <w:rPr>
          <w:rFonts w:ascii="方正仿宋_GBK" w:hAnsi="宋体" w:eastAsia="方正仿宋_GBK"/>
          <w:sz w:val="24"/>
          <w:szCs w:val="24"/>
        </w:rPr>
        <w:t>〕</w:t>
      </w:r>
      <w:r>
        <w:rPr>
          <w:rFonts w:hint="eastAsia" w:ascii="方正仿宋_GBK" w:hAnsi="宋体" w:eastAsia="方正仿宋_GBK"/>
          <w:sz w:val="24"/>
          <w:szCs w:val="24"/>
        </w:rPr>
        <w:t>90号）的规定，落实国家节能环保政策。</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 工业和信息化部关于印发&lt;政府采购促进中小企业发展暂行办法&gt;的通知》（财库〔2011〕181号）的规定，落实促进中小企业发展政策。</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4"/>
        <w:spacing w:before="0" w:after="0" w:line="380" w:lineRule="exact"/>
        <w:rPr>
          <w:rFonts w:ascii="方正仿宋_GBK" w:eastAsia="方正仿宋_GBK"/>
          <w:sz w:val="24"/>
          <w:szCs w:val="24"/>
        </w:rPr>
      </w:pPr>
      <w:bookmarkStart w:id="22" w:name="_Toc525047163"/>
      <w:bookmarkStart w:id="23" w:name="_Toc521053055"/>
      <w:bookmarkStart w:id="24" w:name="_Toc42600924"/>
      <w:r>
        <w:rPr>
          <w:rFonts w:hint="eastAsia" w:ascii="方正仿宋_GBK" w:eastAsia="方正仿宋_GBK"/>
          <w:sz w:val="24"/>
          <w:szCs w:val="24"/>
        </w:rPr>
        <w:t>七、投标有关规定</w:t>
      </w:r>
      <w:bookmarkEnd w:id="22"/>
      <w:bookmarkEnd w:id="23"/>
      <w:bookmarkEnd w:id="2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（三）同一合同项（分包）下为单一品目的货物采购中，同一品牌同一型号产品有多家供应商参加投标，只能按照一家供应商计算。</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（四）同一合同项（分包）下的货物，制造商参与投标的，不得再委托代理商参与投标。</w:t>
      </w:r>
    </w:p>
    <w:p>
      <w:pPr>
        <w:pStyle w:val="14"/>
        <w:ind w:left="560"/>
      </w:pPr>
      <w:r>
        <w:rPr>
          <w:rFonts w:ascii="方正仿宋_GBK" w:hAnsi="宋体" w:eastAsia="方正仿宋_GBK"/>
          <w:sz w:val="24"/>
          <w:szCs w:val="24"/>
        </w:rPr>
        <w:t>（五）如果是代理商参与投标，需要附上制造商的授权委托书。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六</w:t>
      </w:r>
      <w:r>
        <w:rPr>
          <w:rFonts w:hint="eastAsia" w:ascii="方正仿宋_GBK" w:hAnsi="宋体" w:eastAsia="方正仿宋_GBK"/>
          <w:sz w:val="24"/>
          <w:szCs w:val="24"/>
        </w:rPr>
        <w:t>）本项目的补遗文件（如果有）一律在重庆海联职业技术学院官网（http://www.hailian.cn）上发布，请各供应商注意下载或到重庆海联职业技术学院招标办领取；无论供应商下载或领取与否，均视同供应商已知晓本项目补遗文件（如果有）的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七</w:t>
      </w:r>
      <w:r>
        <w:rPr>
          <w:rFonts w:hint="eastAsia" w:ascii="方正仿宋_GBK" w:hAnsi="宋体" w:eastAsia="方正仿宋_GBK"/>
          <w:sz w:val="24"/>
          <w:szCs w:val="24"/>
        </w:rPr>
        <w:t>）超过投标截止时间递交的投标文件，恕不接收。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八</w:t>
      </w:r>
      <w:r>
        <w:rPr>
          <w:rFonts w:hint="eastAsia" w:ascii="方正仿宋_GBK" w:hAnsi="宋体" w:eastAsia="方正仿宋_GBK"/>
          <w:sz w:val="24"/>
          <w:szCs w:val="24"/>
        </w:rPr>
        <w:t>）投标费用：无论投标结果如何，供应商参与本项目投标的所有费用均应由供应商自行承担。</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九</w:t>
      </w:r>
      <w:r>
        <w:rPr>
          <w:rFonts w:hint="eastAsia" w:ascii="方正仿宋_GBK" w:hAnsi="宋体" w:eastAsia="方正仿宋_GBK"/>
          <w:sz w:val="24"/>
          <w:szCs w:val="24"/>
        </w:rPr>
        <w:t>）本项目不接受联合体参与投标。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80" w:lineRule="exact"/>
        <w:rPr>
          <w:rFonts w:ascii="方正仿宋_GBK" w:eastAsia="方正仿宋_GBK"/>
          <w:sz w:val="24"/>
          <w:szCs w:val="24"/>
        </w:rPr>
      </w:pPr>
      <w:bookmarkStart w:id="25" w:name="_Toc521053056"/>
      <w:bookmarkStart w:id="26" w:name="_Toc42600925"/>
      <w:bookmarkStart w:id="27" w:name="_Toc525047164"/>
      <w:r>
        <w:rPr>
          <w:rFonts w:hint="eastAsia" w:ascii="方正仿宋_GBK" w:eastAsia="方正仿宋_GBK"/>
          <w:sz w:val="24"/>
          <w:szCs w:val="24"/>
        </w:rPr>
        <w:t>八、联系方式</w:t>
      </w:r>
      <w:bookmarkEnd w:id="25"/>
      <w:bookmarkEnd w:id="26"/>
      <w:bookmarkEnd w:id="27"/>
    </w:p>
    <w:p>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（一）采购人：重庆海联职业技术学院</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联系人：吉老师</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话：13290034298</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w:t>
      </w:r>
    </w:p>
    <w:p>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（二）采购代理机构：重庆海联职业技术学院招标办</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联系人：任老师</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话：023-67452369</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w:t>
      </w:r>
    </w:p>
    <w:p>
      <w:pPr>
        <w:snapToGrid w:val="0"/>
        <w:spacing w:line="3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0"/>
          <w:szCs w:val="30"/>
        </w:rPr>
      </w:pPr>
      <w:bookmarkStart w:id="28" w:name="_Toc42600926"/>
      <w:bookmarkStart w:id="29" w:name="_Toc102227313"/>
      <w:r>
        <w:rPr>
          <w:rFonts w:hint="eastAsia" w:ascii="方正小标宋_GBK" w:hAnsi="宋体" w:eastAsia="方正小标宋_GBK"/>
          <w:b w:val="0"/>
          <w:sz w:val="36"/>
          <w:szCs w:val="30"/>
        </w:rPr>
        <w:t>第二篇  项目技术规格、数量及质量要求</w:t>
      </w:r>
      <w:bookmarkEnd w:id="28"/>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一</w:t>
      </w:r>
      <w:r>
        <w:rPr>
          <w:rFonts w:ascii="方正仿宋_GBK" w:eastAsia="方正仿宋_GBK"/>
          <w:sz w:val="24"/>
          <w:szCs w:val="24"/>
        </w:rPr>
        <w:t>、</w:t>
      </w:r>
      <w:r>
        <w:rPr>
          <w:rFonts w:hint="eastAsia" w:ascii="方正仿宋_GBK" w:eastAsia="方正仿宋_GBK"/>
          <w:sz w:val="24"/>
          <w:szCs w:val="24"/>
        </w:rPr>
        <w:t>技术项目一览表</w:t>
      </w:r>
    </w:p>
    <w:tbl>
      <w:tblPr>
        <w:tblStyle w:val="59"/>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5182"/>
        <w:gridCol w:w="175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序号</w:t>
            </w:r>
          </w:p>
        </w:tc>
        <w:tc>
          <w:tcPr>
            <w:tcW w:w="5182"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名称</w:t>
            </w:r>
          </w:p>
        </w:tc>
        <w:tc>
          <w:tcPr>
            <w:tcW w:w="1755"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数量</w:t>
            </w:r>
          </w:p>
        </w:tc>
        <w:tc>
          <w:tcPr>
            <w:tcW w:w="184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5182"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智能网联汽车</w:t>
            </w:r>
          </w:p>
        </w:tc>
        <w:tc>
          <w:tcPr>
            <w:tcW w:w="1755"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8</w:t>
            </w:r>
          </w:p>
        </w:tc>
        <w:tc>
          <w:tcPr>
            <w:tcW w:w="184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61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2</w:t>
            </w:r>
          </w:p>
        </w:tc>
        <w:tc>
          <w:tcPr>
            <w:tcW w:w="5182"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智慧沙盘</w:t>
            </w:r>
          </w:p>
        </w:tc>
        <w:tc>
          <w:tcPr>
            <w:tcW w:w="1755"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2</w:t>
            </w:r>
          </w:p>
        </w:tc>
        <w:tc>
          <w:tcPr>
            <w:tcW w:w="1848" w:type="dxa"/>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3</w:t>
            </w:r>
          </w:p>
        </w:tc>
        <w:tc>
          <w:tcPr>
            <w:tcW w:w="5182"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滑板底盘自动驾驶汽车</w:t>
            </w:r>
          </w:p>
        </w:tc>
        <w:tc>
          <w:tcPr>
            <w:tcW w:w="1755"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1848" w:type="dxa"/>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8"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4</w:t>
            </w:r>
          </w:p>
        </w:tc>
        <w:tc>
          <w:tcPr>
            <w:tcW w:w="5182"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正方形操作台</w:t>
            </w:r>
          </w:p>
        </w:tc>
        <w:tc>
          <w:tcPr>
            <w:tcW w:w="1755" w:type="dxa"/>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2</w:t>
            </w:r>
          </w:p>
        </w:tc>
        <w:tc>
          <w:tcPr>
            <w:tcW w:w="1848" w:type="dxa"/>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张</w:t>
            </w:r>
          </w:p>
        </w:tc>
      </w:tr>
    </w:tbl>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二、功能要求</w:t>
      </w:r>
    </w:p>
    <w:tbl>
      <w:tblPr>
        <w:tblStyle w:val="58"/>
        <w:tblW w:w="10543" w:type="dxa"/>
        <w:jc w:val="center"/>
        <w:tblLayout w:type="fixed"/>
        <w:tblCellMar>
          <w:top w:w="0" w:type="dxa"/>
          <w:left w:w="0" w:type="dxa"/>
          <w:bottom w:w="0" w:type="dxa"/>
          <w:right w:w="0" w:type="dxa"/>
        </w:tblCellMar>
      </w:tblPr>
      <w:tblGrid>
        <w:gridCol w:w="672"/>
        <w:gridCol w:w="1595"/>
        <w:gridCol w:w="8276"/>
      </w:tblGrid>
      <w:tr>
        <w:tblPrEx>
          <w:tblCellMar>
            <w:top w:w="0" w:type="dxa"/>
            <w:left w:w="0" w:type="dxa"/>
            <w:bottom w:w="0" w:type="dxa"/>
            <w:right w:w="0" w:type="dxa"/>
          </w:tblCellMar>
        </w:tblPrEx>
        <w:trPr>
          <w:trHeight w:val="55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序号</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名称</w:t>
            </w:r>
          </w:p>
        </w:tc>
        <w:tc>
          <w:tcPr>
            <w:tcW w:w="8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技术参数</w:t>
            </w:r>
          </w:p>
        </w:tc>
      </w:tr>
      <w:tr>
        <w:tblPrEx>
          <w:tblCellMar>
            <w:top w:w="0" w:type="dxa"/>
            <w:left w:w="0" w:type="dxa"/>
            <w:bottom w:w="0" w:type="dxa"/>
            <w:right w:w="0" w:type="dxa"/>
          </w:tblCellMar>
        </w:tblPrEx>
        <w:trPr>
          <w:trHeight w:val="69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1</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智能网联汽车</w:t>
            </w:r>
          </w:p>
        </w:tc>
        <w:tc>
          <w:tcPr>
            <w:tcW w:w="8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底盘硬件</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▲1.整车尺寸：≥380X180X180mm，≤4</w:t>
            </w:r>
            <w:r>
              <w:rPr>
                <w:rFonts w:ascii="方正仿宋_GBK" w:hAnsi="宋体" w:eastAsia="方正仿宋_GBK" w:cs="宋体"/>
                <w:sz w:val="24"/>
                <w:szCs w:val="24"/>
              </w:rPr>
              <w:t>2</w:t>
            </w:r>
            <w:r>
              <w:rPr>
                <w:rFonts w:hint="eastAsia" w:ascii="方正仿宋_GBK" w:hAnsi="宋体" w:eastAsia="方正仿宋_GBK" w:cs="宋体"/>
                <w:sz w:val="24"/>
                <w:szCs w:val="24"/>
              </w:rPr>
              <w:t>0X2</w:t>
            </w:r>
            <w:r>
              <w:rPr>
                <w:rFonts w:ascii="方正仿宋_GBK" w:hAnsi="宋体" w:eastAsia="方正仿宋_GBK" w:cs="宋体"/>
                <w:sz w:val="24"/>
                <w:szCs w:val="24"/>
              </w:rPr>
              <w:t>2</w:t>
            </w:r>
            <w:r>
              <w:rPr>
                <w:rFonts w:hint="eastAsia" w:ascii="方正仿宋_GBK" w:hAnsi="宋体" w:eastAsia="方正仿宋_GBK" w:cs="宋体"/>
                <w:sz w:val="24"/>
                <w:szCs w:val="24"/>
              </w:rPr>
              <w:t>0X2</w:t>
            </w:r>
            <w:r>
              <w:rPr>
                <w:rFonts w:ascii="方正仿宋_GBK" w:hAnsi="宋体" w:eastAsia="方正仿宋_GBK" w:cs="宋体"/>
                <w:sz w:val="24"/>
                <w:szCs w:val="24"/>
              </w:rPr>
              <w:t>2</w:t>
            </w:r>
            <w:r>
              <w:rPr>
                <w:rFonts w:hint="eastAsia" w:ascii="方正仿宋_GBK" w:hAnsi="宋体" w:eastAsia="方正仿宋_GBK" w:cs="宋体"/>
                <w:sz w:val="24"/>
                <w:szCs w:val="24"/>
              </w:rPr>
              <w:t>0mm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2.整车质量：≥3kg</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3.行驶速度：最大30km/h</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▲4.整体架构：电控，中置四驱，独立悬架</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5.最小转弯半径：</w:t>
            </w:r>
            <w:r>
              <w:rPr>
                <w:rFonts w:ascii="方正仿宋_GBK" w:hAnsi="宋体" w:eastAsia="方正仿宋_GBK" w:cs="宋体"/>
                <w:sz w:val="24"/>
                <w:szCs w:val="24"/>
              </w:rPr>
              <w:t>6</w:t>
            </w:r>
            <w:r>
              <w:rPr>
                <w:rFonts w:hint="eastAsia" w:ascii="方正仿宋_GBK" w:hAnsi="宋体" w:eastAsia="方正仿宋_GBK" w:cs="宋体"/>
                <w:sz w:val="24"/>
                <w:szCs w:val="24"/>
              </w:rPr>
              <w:t>00mm-</w:t>
            </w:r>
            <w:r>
              <w:rPr>
                <w:rFonts w:ascii="方正仿宋_GBK" w:hAnsi="宋体" w:eastAsia="方正仿宋_GBK" w:cs="宋体"/>
                <w:sz w:val="24"/>
                <w:szCs w:val="24"/>
              </w:rPr>
              <w:t>7</w:t>
            </w:r>
            <w:r>
              <w:rPr>
                <w:rFonts w:hint="eastAsia" w:ascii="方正仿宋_GBK" w:hAnsi="宋体" w:eastAsia="方正仿宋_GBK" w:cs="宋体"/>
                <w:sz w:val="24"/>
                <w:szCs w:val="24"/>
              </w:rPr>
              <w:t>00mm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6.电池参数：11V-14V，5000mAh-6000mAh</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7.充电时间：&lt;2h</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芯片</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▲1.CPU：64位四核ARM A57@1.43GHz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▲2.GPU：128核NVIDIA Maxwell@921MHz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▲3.显存：4GB 64位LPDDR4@600MHz / 25.6GB/s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▲4.储存：16GB eMMC 5.1</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5.视频编码器：4Kp30 / (4x)1080p30 / (2x)1080p60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6.视频解码器：4Kp60 / (2x)4Kp30 / (8x)1080p30 / (4x)1080p60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7.USB：4xUSB3.0A(主机)，USB2.0MicroB(设备)</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8.显示：HDMI，DP</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9.支持网络：10/100/1000 BASE-T Ethernet</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激光雷达</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▲1.测量半径：0.15m-12m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2.采样频率：≤8kHz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▲3.扫描频率：5.5Hz-16Hz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4.角度分辨率：≤1°</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5.扫描范围：0-360°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电调</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1.电压：6V-60V（安全LiPo为3S到12)，电压峰值不能超过60V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2.电流：连续电流20A，突发电流100A</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3.输出电流：0.5-1A</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4.输出电压：3.3-5V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▲5.模式：DO，BLDC，FOC（正弦）</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▲6.支持传感器：ABI，HALL，AS5047，TS5700N8501</w:t>
            </w:r>
          </w:p>
          <w:p>
            <w:pPr>
              <w:spacing w:line="400" w:lineRule="exact"/>
              <w:ind w:firstLine="240" w:firstLineChars="100"/>
              <w:jc w:val="left"/>
              <w:rPr>
                <w:rFonts w:ascii="方正仿宋_GBK" w:hAnsi="宋体" w:eastAsia="方正仿宋_GBK" w:cs="宋体"/>
                <w:sz w:val="24"/>
                <w:szCs w:val="24"/>
              </w:rPr>
            </w:pPr>
            <w:r>
              <w:rPr>
                <w:rFonts w:hint="eastAsia" w:ascii="宋体" w:hAnsi="宋体" w:cs="宋体"/>
                <w:sz w:val="24"/>
                <w:szCs w:val="24"/>
              </w:rPr>
              <w:t>※</w:t>
            </w:r>
            <w:r>
              <w:rPr>
                <w:rFonts w:hint="eastAsia" w:ascii="方正仿宋_GBK" w:hAnsi="宋体" w:eastAsia="方正仿宋_GBK" w:cs="宋体"/>
                <w:sz w:val="24"/>
                <w:szCs w:val="24"/>
              </w:rPr>
              <w:t>7.通讯端口：USB，CAN，UART，PWM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电机</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1.比例需满足：1/10th</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▲2.有刷/无刷：需满足无刷</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▲3.有感/无感：需满足有感</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4.支持锂电池节数：2-3S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舵机</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1.电压：4V-7.4V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▲2.角度：0-360°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▲3.齿轮虚位≤0.5°</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4.保存温度：-30℃～80℃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5.运行温度：-20℃～60℃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毫米波雷达</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1.电压：5V-12V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▲2.传输频率：24GHz-24.25GHz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▲3.探测距离：0.1m-6.32m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4.更新时间：100ms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5.通讯方式：UART（115200）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GPS</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1.电压：3.3V-5V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2.电流：45mA</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▲3.波特率：9600（默认）、38400、115200</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▲4.更新速率：1Hz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5.工作温度：-30～85℃</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IMU</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1.电压：5V-36V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▲2.轴数：≥6轴</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▲3.频率输出：≤100Hz</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4.俯仰/翻滚角精度：0.2°RMS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5.传输距离：≥10m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摄像头</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1.电压：0-5V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2.像元尺寸：≥3.0um X 3.0um，≤4.0um X 4.0um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3.图像区域：≥3800 µm x 2400 µm，≤4200 µm x 2800 µm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▲4.输出图像格式：MJPEG，YUV2 (YUYV)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5.支持的分辨率及帧率：</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1280X720 MJPEG@ 30fps YUY2@10fps/ 960X720MJPEG@ 30fps YUY2@15fps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800X600 MJPEG@30fps YUY2@20fps/ 640X480 MJPEG@ 30fps YUY2@ 30fps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352X248 MJPEG@30fps YUY2@ 30fps/ 320X240 MJPEG@ 30fps YUY2@ 30fps</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176X144 MJPEG@30fps YUY2@ 30fps/ 160X120 MJPEG@ 30fps YUY2@ 30fps</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6</w:t>
            </w:r>
            <w:r>
              <w:rPr>
                <w:rFonts w:hint="eastAsia" w:ascii="方正仿宋_GBK" w:hAnsi="宋体" w:eastAsia="方正仿宋_GBK" w:cs="宋体"/>
                <w:sz w:val="24"/>
                <w:szCs w:val="24"/>
              </w:rPr>
              <w:t>.支持的系统：WinXP/Vista/Win7/Win8，Linux with UVC（above linux-2.6.26），MAC-OS X 10.4.8 or later，Wince with UVC，Android 4.0 or above with UVC</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超声波</w:t>
            </w:r>
            <w:r>
              <w:rPr>
                <w:rFonts w:hint="eastAsia" w:ascii="方正仿宋_GBK" w:hAnsi="宋体" w:eastAsia="方正仿宋_GBK" w:cs="宋体"/>
                <w:sz w:val="24"/>
                <w:szCs w:val="24"/>
              </w:rPr>
              <w:tab/>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1.电压：3.3V-5V</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▲2.探测距离：2cm-5m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▲3.精度：0.5cm</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4.接口方式：鳄鱼夹接口，杜邦线接口，PH2.0排线接口</w:t>
            </w:r>
          </w:p>
          <w:p>
            <w:pPr>
              <w:pStyle w:val="14"/>
              <w:ind w:left="0" w:leftChars="0"/>
              <w:rPr>
                <w:rFonts w:ascii="方正仿宋_GBK" w:hAnsi="宋体" w:eastAsia="方正仿宋_GBK" w:cs="宋体"/>
                <w:sz w:val="24"/>
                <w:szCs w:val="24"/>
              </w:rPr>
            </w:pPr>
            <w:r>
              <w:rPr>
                <w:rFonts w:hint="eastAsia" w:ascii="方正仿宋_GBK" w:hAnsi="宋体" w:eastAsia="方正仿宋_GBK" w:cs="宋体"/>
                <w:sz w:val="24"/>
                <w:szCs w:val="24"/>
              </w:rPr>
              <w:t>具体功能及要求：</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w:t>
            </w:r>
            <w:r>
              <w:rPr>
                <w:rFonts w:hint="eastAsia" w:ascii="方正仿宋_GBK" w:hAnsi="宋体" w:eastAsia="方正仿宋_GBK" w:cs="宋体"/>
                <w:sz w:val="24"/>
                <w:szCs w:val="24"/>
              </w:rPr>
              <w:t>免费提供</w:t>
            </w:r>
            <w:r>
              <w:rPr>
                <w:rFonts w:ascii="方正仿宋_GBK" w:hAnsi="宋体" w:eastAsia="方正仿宋_GBK" w:cs="宋体"/>
                <w:sz w:val="24"/>
                <w:szCs w:val="24"/>
              </w:rPr>
              <w:t>设备开箱视频</w:t>
            </w:r>
            <w:r>
              <w:rPr>
                <w:rFonts w:hint="eastAsia" w:ascii="方正仿宋_GBK" w:hAnsi="宋体" w:eastAsia="方正仿宋_GBK" w:cs="宋体"/>
                <w:sz w:val="24"/>
                <w:szCs w:val="24"/>
              </w:rPr>
              <w:t>、</w:t>
            </w:r>
            <w:r>
              <w:rPr>
                <w:rFonts w:ascii="方正仿宋_GBK" w:hAnsi="宋体" w:eastAsia="方正仿宋_GBK" w:cs="宋体"/>
                <w:sz w:val="24"/>
                <w:szCs w:val="24"/>
              </w:rPr>
              <w:t>相关</w:t>
            </w:r>
            <w:r>
              <w:rPr>
                <w:rFonts w:hint="eastAsia" w:ascii="方正仿宋_GBK" w:hAnsi="宋体" w:eastAsia="方正仿宋_GBK" w:cs="宋体"/>
                <w:sz w:val="24"/>
                <w:szCs w:val="24"/>
              </w:rPr>
              <w:t>软件并指导采购方安装操作</w:t>
            </w:r>
            <w:r>
              <w:rPr>
                <w:rFonts w:ascii="方正仿宋_GBK" w:hAnsi="宋体" w:eastAsia="方正仿宋_GBK" w:cs="宋体"/>
                <w:sz w:val="24"/>
                <w:szCs w:val="24"/>
              </w:rPr>
              <w:t>。</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2.电器安全使用视频（电池充电器、电压显示器、锂电池、废弃电池处理）及相关资料。</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w:t>
            </w:r>
            <w:r>
              <w:rPr>
                <w:rFonts w:ascii="方正仿宋_GBK" w:hAnsi="宋体" w:eastAsia="方正仿宋_GBK" w:cs="宋体"/>
                <w:sz w:val="24"/>
                <w:szCs w:val="24"/>
              </w:rPr>
              <w:t>3.前期准备视频及指导手册（Nano系统烧录及配置、系统换源环境配置及软件安装、Matlab硬件支持包安装、yolo深度学习环境部署、电机标定 、舵机标定、IMU标定等）。</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4.整车组装视频（前后防撞海绵安装、舵机安装、电机安装、支架安装、超声波安装、毫米波安装、散热风扇安装、供电板安装、电调安装、Jetson Nano安装摄像头安装、GPS安装、激光雷达安装、IMU安装、拓展器安装、电池安装）及相关资料。</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w:t>
            </w:r>
            <w:r>
              <w:rPr>
                <w:rFonts w:ascii="方正仿宋_GBK" w:hAnsi="宋体" w:eastAsia="方正仿宋_GBK" w:cs="宋体"/>
                <w:sz w:val="24"/>
                <w:szCs w:val="24"/>
              </w:rPr>
              <w:t>5.设备使用(Matlab/Simulink)：UDP通讯、TCP通讯、电机驱动、舵机转向、摄像头数据读取、超声波数据读取、毫米波数据读取、IMU数据读取、GPS数据读取操作视频及相关资料。</w:t>
            </w:r>
          </w:p>
          <w:p>
            <w:pPr>
              <w:spacing w:line="400" w:lineRule="exact"/>
              <w:ind w:firstLine="240" w:firstLineChars="100"/>
              <w:jc w:val="left"/>
              <w:rPr>
                <w:rFonts w:ascii="方正仿宋_GBK" w:hAnsi="宋体" w:eastAsia="方正仿宋_GBK" w:cs="宋体"/>
                <w:sz w:val="24"/>
                <w:szCs w:val="24"/>
              </w:rPr>
            </w:pPr>
            <w:r>
              <w:rPr>
                <w:rFonts w:hint="eastAsia" w:ascii="宋体" w:hAnsi="宋体" w:cs="宋体"/>
                <w:sz w:val="24"/>
                <w:szCs w:val="24"/>
              </w:rPr>
              <w:t>※</w:t>
            </w:r>
            <w:r>
              <w:rPr>
                <w:rFonts w:ascii="方正仿宋_GBK" w:hAnsi="宋体" w:eastAsia="方正仿宋_GBK" w:cs="宋体"/>
                <w:sz w:val="24"/>
                <w:szCs w:val="24"/>
              </w:rPr>
              <w:t>6.FUNCTION(Matlab/Simulink)：车道保持系统、紧急制动系统、自适应巡航系统、预碰撞安全系统、自动泊车系统操作视频、实验指导书、实验报告、课程PPT、源代码等相关资料。</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w:t>
            </w:r>
            <w:r>
              <w:rPr>
                <w:rFonts w:ascii="方正仿宋_GBK" w:hAnsi="宋体" w:eastAsia="方正仿宋_GBK" w:cs="宋体"/>
                <w:sz w:val="24"/>
                <w:szCs w:val="24"/>
              </w:rPr>
              <w:t>7.设备使用(Python)：UDP通讯、TCP通讯、电机驱动、舵机转向、摄像头数据读取、超声波数据读取、毫米波数据读取、IMU数据读取、GPS数据读取、启动激光雷达操作视频及相关资料。</w:t>
            </w:r>
          </w:p>
          <w:p>
            <w:pPr>
              <w:spacing w:line="400" w:lineRule="exact"/>
              <w:ind w:firstLine="240" w:firstLineChars="100"/>
              <w:jc w:val="left"/>
              <w:rPr>
                <w:rFonts w:ascii="方正仿宋_GBK" w:hAnsi="宋体" w:eastAsia="方正仿宋_GBK" w:cs="宋体"/>
                <w:sz w:val="24"/>
                <w:szCs w:val="24"/>
              </w:rPr>
            </w:pPr>
            <w:r>
              <w:rPr>
                <w:rFonts w:hint="eastAsia" w:ascii="宋体" w:hAnsi="宋体" w:cs="宋体"/>
                <w:sz w:val="24"/>
                <w:szCs w:val="24"/>
              </w:rPr>
              <w:t>※</w:t>
            </w:r>
            <w:r>
              <w:rPr>
                <w:rFonts w:ascii="方正仿宋_GBK" w:hAnsi="宋体" w:eastAsia="方正仿宋_GBK" w:cs="宋体"/>
                <w:sz w:val="24"/>
                <w:szCs w:val="24"/>
              </w:rPr>
              <w:t>8.FUNCTION(Python)：车道保持系统、超声波紧急制动系统、毫米波紧急制动系统、 自适应巡航系统、预碰撞安全系统、自动泊车系统、斑马线识别并制动系统、红绿灯制动系统操作视频、实验指导书、实验报告、课程PPT、源代码等相关资料。</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w:t>
            </w:r>
            <w:r>
              <w:rPr>
                <w:rFonts w:ascii="方正仿宋_GBK" w:hAnsi="宋体" w:eastAsia="方正仿宋_GBK" w:cs="宋体"/>
                <w:sz w:val="24"/>
                <w:szCs w:val="24"/>
              </w:rPr>
              <w:t>支持开设课程：</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1.《智能驾驶系统设计与实践》</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2.《智能网联汽车环境感知技术》</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3.《智能车辆决策规划与控制》</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4.《Python程序设计》</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5.</w:t>
            </w:r>
            <w:r>
              <w:rPr>
                <w:rFonts w:hint="eastAsia" w:ascii="方正仿宋_GBK" w:hAnsi="宋体" w:eastAsia="方正仿宋_GBK" w:cs="宋体"/>
                <w:sz w:val="24"/>
                <w:szCs w:val="24"/>
              </w:rPr>
              <w:t>《MATLAB/Simulink入门经典教材》</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w:t>
            </w:r>
            <w:r>
              <w:rPr>
                <w:rFonts w:ascii="方正仿宋_GBK" w:hAnsi="宋体" w:eastAsia="方正仿宋_GBK" w:cs="宋体"/>
                <w:sz w:val="24"/>
                <w:szCs w:val="24"/>
              </w:rPr>
              <w:t>支持开设实验课程：</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w:t>
            </w:r>
            <w:r>
              <w:rPr>
                <w:rFonts w:hint="eastAsia" w:ascii="方正仿宋_GBK" w:hAnsi="宋体" w:eastAsia="方正仿宋_GBK" w:cs="宋体"/>
                <w:sz w:val="24"/>
                <w:szCs w:val="24"/>
              </w:rPr>
              <w:t>.传感器标定实验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2.</w:t>
            </w:r>
            <w:r>
              <w:rPr>
                <w:rFonts w:hint="eastAsia" w:ascii="方正仿宋_GBK" w:hAnsi="宋体" w:eastAsia="方正仿宋_GBK" w:cs="宋体"/>
                <w:sz w:val="24"/>
                <w:szCs w:val="24"/>
              </w:rPr>
              <w:t>传感器数据读取实验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3.</w:t>
            </w:r>
            <w:r>
              <w:rPr>
                <w:rFonts w:hint="eastAsia" w:ascii="方正仿宋_GBK" w:hAnsi="宋体" w:eastAsia="方正仿宋_GBK" w:cs="宋体"/>
                <w:sz w:val="24"/>
                <w:szCs w:val="24"/>
              </w:rPr>
              <w:t>无线通讯实验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4.</w:t>
            </w:r>
            <w:r>
              <w:rPr>
                <w:rFonts w:hint="eastAsia" w:ascii="方正仿宋_GBK" w:hAnsi="宋体" w:eastAsia="方正仿宋_GBK" w:cs="宋体"/>
                <w:sz w:val="24"/>
                <w:szCs w:val="24"/>
              </w:rPr>
              <w:t>车道保持实验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5.</w:t>
            </w:r>
            <w:r>
              <w:rPr>
                <w:rFonts w:hint="eastAsia" w:ascii="方正仿宋_GBK" w:hAnsi="宋体" w:eastAsia="方正仿宋_GBK" w:cs="宋体"/>
                <w:sz w:val="24"/>
                <w:szCs w:val="24"/>
              </w:rPr>
              <w:t>紧急制动实验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6.</w:t>
            </w:r>
            <w:r>
              <w:rPr>
                <w:rFonts w:hint="eastAsia" w:ascii="方正仿宋_GBK" w:hAnsi="宋体" w:eastAsia="方正仿宋_GBK" w:cs="宋体"/>
                <w:sz w:val="24"/>
                <w:szCs w:val="24"/>
              </w:rPr>
              <w:t>自适应巡航实验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7.</w:t>
            </w:r>
            <w:r>
              <w:rPr>
                <w:rFonts w:hint="eastAsia" w:ascii="方正仿宋_GBK" w:hAnsi="宋体" w:eastAsia="方正仿宋_GBK" w:cs="宋体"/>
                <w:sz w:val="24"/>
                <w:szCs w:val="24"/>
              </w:rPr>
              <w:t>预碰撞安全实验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8.</w:t>
            </w:r>
            <w:r>
              <w:rPr>
                <w:rFonts w:hint="eastAsia" w:ascii="方正仿宋_GBK" w:hAnsi="宋体" w:eastAsia="方正仿宋_GBK" w:cs="宋体"/>
                <w:sz w:val="24"/>
                <w:szCs w:val="24"/>
              </w:rPr>
              <w:t>自动泊车实验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9.</w:t>
            </w:r>
            <w:r>
              <w:rPr>
                <w:rFonts w:hint="eastAsia" w:ascii="方正仿宋_GBK" w:hAnsi="宋体" w:eastAsia="方正仿宋_GBK" w:cs="宋体"/>
                <w:sz w:val="24"/>
                <w:szCs w:val="24"/>
              </w:rPr>
              <w:t>斑马线识别并制动实验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10.</w:t>
            </w:r>
            <w:r>
              <w:rPr>
                <w:rFonts w:hint="eastAsia" w:ascii="方正仿宋_GBK" w:hAnsi="宋体" w:eastAsia="方正仿宋_GBK" w:cs="宋体"/>
                <w:sz w:val="24"/>
                <w:szCs w:val="24"/>
              </w:rPr>
              <w:t>红绿灯识别并制动实验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11.</w:t>
            </w:r>
            <w:r>
              <w:rPr>
                <w:rFonts w:hint="eastAsia" w:ascii="方正仿宋_GBK" w:hAnsi="宋体" w:eastAsia="方正仿宋_GBK" w:cs="宋体"/>
                <w:sz w:val="24"/>
                <w:szCs w:val="24"/>
              </w:rPr>
              <w:t>基于Hyperlpr车牌识别实验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12.</w:t>
            </w:r>
            <w:r>
              <w:rPr>
                <w:rFonts w:hint="eastAsia" w:ascii="方正仿宋_GBK" w:hAnsi="宋体" w:eastAsia="方正仿宋_GBK" w:cs="宋体"/>
                <w:sz w:val="24"/>
                <w:szCs w:val="24"/>
              </w:rPr>
              <w:t>手势识别及交互实验</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13.</w:t>
            </w:r>
            <w:r>
              <w:rPr>
                <w:rFonts w:hint="eastAsia" w:ascii="方正仿宋_GBK" w:hAnsi="宋体" w:eastAsia="方正仿宋_GBK" w:cs="宋体"/>
                <w:sz w:val="24"/>
                <w:szCs w:val="24"/>
              </w:rPr>
              <w:t>基于Slam建图定位</w:t>
            </w:r>
          </w:p>
          <w:p>
            <w:pPr>
              <w:spacing w:line="400" w:lineRule="exact"/>
              <w:ind w:firstLine="240" w:firstLineChars="100"/>
              <w:jc w:val="left"/>
              <w:rPr>
                <w:rFonts w:ascii="方正仿宋_GBK" w:hAnsi="宋体" w:eastAsia="方正仿宋_GBK" w:cs="宋体"/>
                <w:sz w:val="24"/>
                <w:szCs w:val="24"/>
              </w:rPr>
            </w:pPr>
            <w:r>
              <w:rPr>
                <w:rFonts w:ascii="方正仿宋_GBK" w:hAnsi="宋体" w:eastAsia="方正仿宋_GBK" w:cs="宋体"/>
                <w:sz w:val="24"/>
                <w:szCs w:val="24"/>
              </w:rPr>
              <w:t>14.</w:t>
            </w:r>
            <w:r>
              <w:rPr>
                <w:rFonts w:hint="eastAsia" w:ascii="方正仿宋_GBK" w:hAnsi="宋体" w:eastAsia="方正仿宋_GBK" w:cs="宋体"/>
                <w:sz w:val="24"/>
                <w:szCs w:val="24"/>
              </w:rPr>
              <w:t>基于Slam建图路径规划</w:t>
            </w:r>
          </w:p>
          <w:p>
            <w:pPr>
              <w:spacing w:line="400" w:lineRule="exact"/>
              <w:jc w:val="left"/>
            </w:pPr>
            <w:r>
              <w:rPr>
                <w:rFonts w:hint="eastAsia" w:ascii="方正仿宋_GBK" w:hAnsi="宋体" w:eastAsia="方正仿宋_GBK" w:cs="宋体"/>
                <w:sz w:val="24"/>
                <w:szCs w:val="24"/>
              </w:rPr>
              <w:t>※竞赛：符合市级以上一类赛事要求</w:t>
            </w:r>
          </w:p>
        </w:tc>
      </w:tr>
      <w:tr>
        <w:tblPrEx>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2</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智慧沙盘</w:t>
            </w:r>
          </w:p>
        </w:tc>
        <w:tc>
          <w:tcPr>
            <w:tcW w:w="8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1.沙盘面积</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智慧沙盘RTST Lite占地面积不低于30平方米。</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2.场景内容</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主要包括不限于：单向车道，双向车道，十字路口，T型路口，停车位，环岛等相关场景内容。可根据需求定制相关交通场景。</w:t>
            </w:r>
          </w:p>
          <w:p>
            <w:pPr>
              <w:spacing w:line="400" w:lineRule="exact"/>
              <w:jc w:val="left"/>
              <w:rPr>
                <w:rFonts w:ascii="方正仿宋_GBK" w:hAnsi="宋体" w:eastAsia="方正仿宋_GBK" w:cs="宋体"/>
                <w:sz w:val="24"/>
                <w:szCs w:val="24"/>
              </w:rPr>
            </w:pPr>
            <w:r>
              <w:rPr>
                <w:rFonts w:hint="eastAsia" w:ascii="方正仿宋_GBK" w:hAnsi="方正仿宋_GBK" w:eastAsia="方正仿宋_GBK" w:cs="宋体"/>
                <w:sz w:val="24"/>
                <w:szCs w:val="24"/>
              </w:rPr>
              <w:t>▲</w:t>
            </w:r>
            <w:r>
              <w:rPr>
                <w:rFonts w:hint="eastAsia" w:ascii="方正仿宋_GBK" w:hAnsi="宋体" w:eastAsia="方正仿宋_GBK" w:cs="宋体"/>
                <w:sz w:val="24"/>
                <w:szCs w:val="24"/>
              </w:rPr>
              <w:t>3.配套物品</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(1)挡板：≥400*200mm，≤600*400mm ，不低于</w:t>
            </w:r>
            <w:r>
              <w:rPr>
                <w:rFonts w:ascii="方正仿宋_GBK" w:hAnsi="宋体" w:eastAsia="方正仿宋_GBK" w:cs="宋体"/>
                <w:sz w:val="24"/>
                <w:szCs w:val="24"/>
              </w:rPr>
              <w:t>10</w:t>
            </w:r>
            <w:r>
              <w:rPr>
                <w:rFonts w:hint="eastAsia" w:ascii="方正仿宋_GBK" w:hAnsi="宋体" w:eastAsia="方正仿宋_GBK" w:cs="宋体"/>
                <w:sz w:val="24"/>
                <w:szCs w:val="24"/>
              </w:rPr>
              <w:t>0张+200个卡扣</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(2)红绿灯：高度≥250mm、≤500mm，不低于2个（可控制）</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(3)锥桶：高度≥200mm、≤300mm，底部直径≥50mm、≤100mm，不低于7个</w:t>
            </w:r>
          </w:p>
          <w:p>
            <w:pPr>
              <w:spacing w:line="400" w:lineRule="exact"/>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(4)交通标志牌：（左转、右转、直行、停止）高度≥200mm、≤400mm，标志直径≥50mm、≤100mm，不低于4个</w:t>
            </w:r>
          </w:p>
          <w:p>
            <w:pPr>
              <w:pStyle w:val="14"/>
              <w:ind w:left="560"/>
              <w:rPr>
                <w:rFonts w:ascii="方正仿宋_GBK" w:hAnsi="宋体" w:eastAsia="方正仿宋_GBK" w:cs="宋体"/>
                <w:sz w:val="24"/>
                <w:szCs w:val="24"/>
              </w:rPr>
            </w:pPr>
            <w:r>
              <w:rPr>
                <w:rFonts w:hint="eastAsia" w:ascii="方正仿宋_GBK" w:hAnsi="宋体" w:eastAsia="方正仿宋_GBK" w:cs="宋体"/>
                <w:sz w:val="24"/>
                <w:szCs w:val="24"/>
              </w:rPr>
              <w:t>具体功能及要求：</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1.车道保持：小车放置在沙盘任意车道位置。使用摄像头传感器实现图像获取，使用开源软件库opencv实现图像处理，使用霍夫变换算法实现车道线识别。</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2.自动紧急制动：小车放置在沙盘直道单车道位置。使用超声波雷达/毫米波雷达传感器，计算与障碍物的距离，当测量距离达到设定的危险阈值时进行制动。</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3.预碰撞安全：小车放置在沙盘含双车道位置。摄像头识别车道线进行车道保持，超声波/毫米波测量前方障碍物的距离来判断是否需要进行变道避让，右侧超声波测量右侧距离来判断是否能回到原车道。</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4.自适应巡航：沙盘含有弯道、直道的单车道位置。摄像头用来识别车道线进行车道保持，超声波/毫米波判断与前车的距离，根据不同的距离来调整自身车速达到自适应巡航效果。</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▲5.自动泊车：小车放置在沙盘有停车位的车道位置。待泊车位的两边放置障碍物。使用超声波雷达测量车道距离，根据距离值的两次突变点来判断车位状态，根据车位状态进行泊车轨迹规划从而进行泊车。</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6.斑马线识别制动：小车利用摄像头传感器实现图像获取，使用开源软件库opencv实现图像处理，根据斑马线特征求横纵梯度值，通过取合理阈值来判断小车和斑马线的位置信息进行斑马线识别并制动。识别斑马线并制动后，需要在5s内启动车辆。</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▲7.红绿灯识别制动：小车放置在沙盘设置红绿灯的车道位置。使用深度学习的YoloV5框架进行识别，识别到绿灯正常通过，识别到红灯需要进行制动，直到变为绿灯时才能重新启动车辆。</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▲8.Hector建图：利用激光雷达测距原理和扫描数据处理，通过定位和建图过程生成环境地图，可用于小车导航和路径规划等任务。</w:t>
            </w:r>
          </w:p>
          <w:p>
            <w:pPr>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▲9.交通标志识别：小车利用摄像头采集周围环境，使用深度学习进行交通标志识别，小车根据标志内容完成相对应动作。</w:t>
            </w:r>
          </w:p>
          <w:p>
            <w:pPr>
              <w:rPr>
                <w:rFonts w:ascii="方正仿宋_GBK" w:hAnsi="宋体" w:eastAsia="方正仿宋_GBK" w:cs="宋体"/>
                <w:sz w:val="24"/>
                <w:szCs w:val="24"/>
              </w:rPr>
            </w:pPr>
            <w:r>
              <w:rPr>
                <w:rFonts w:hint="eastAsia" w:ascii="方正仿宋_GBK" w:hAnsi="宋体" w:eastAsia="方正仿宋_GBK" w:cs="宋体"/>
                <w:sz w:val="24"/>
                <w:szCs w:val="24"/>
              </w:rPr>
              <w:t>▲支持开设课程：</w:t>
            </w:r>
          </w:p>
          <w:p>
            <w:pPr>
              <w:rPr>
                <w:rFonts w:ascii="方正仿宋_GBK" w:hAnsi="宋体" w:eastAsia="方正仿宋_GBK" w:cs="宋体"/>
                <w:sz w:val="24"/>
                <w:szCs w:val="24"/>
              </w:rPr>
            </w:pPr>
            <w:r>
              <w:rPr>
                <w:rFonts w:hint="eastAsia" w:ascii="方正仿宋_GBK" w:hAnsi="宋体" w:eastAsia="方正仿宋_GBK" w:cs="宋体"/>
                <w:sz w:val="24"/>
                <w:szCs w:val="24"/>
              </w:rPr>
              <w:t>1.《智能驾驶系统设计与实践》</w:t>
            </w:r>
          </w:p>
          <w:p>
            <w:pPr>
              <w:rPr>
                <w:rFonts w:ascii="方正仿宋_GBK" w:hAnsi="宋体" w:eastAsia="方正仿宋_GBK" w:cs="宋体"/>
                <w:sz w:val="24"/>
                <w:szCs w:val="24"/>
              </w:rPr>
            </w:pPr>
            <w:r>
              <w:rPr>
                <w:rFonts w:hint="eastAsia" w:ascii="方正仿宋_GBK" w:hAnsi="宋体" w:eastAsia="方正仿宋_GBK" w:cs="宋体"/>
                <w:sz w:val="24"/>
                <w:szCs w:val="24"/>
              </w:rPr>
              <w:t>2.《智能网联汽车环境感知技术》</w:t>
            </w:r>
          </w:p>
          <w:p>
            <w:pPr>
              <w:rPr>
                <w:rFonts w:ascii="方正仿宋_GBK" w:hAnsi="宋体" w:eastAsia="方正仿宋_GBK" w:cs="宋体"/>
                <w:sz w:val="24"/>
                <w:szCs w:val="24"/>
              </w:rPr>
            </w:pPr>
            <w:r>
              <w:rPr>
                <w:rFonts w:hint="eastAsia" w:ascii="方正仿宋_GBK" w:hAnsi="宋体" w:eastAsia="方正仿宋_GBK" w:cs="宋体"/>
                <w:sz w:val="24"/>
                <w:szCs w:val="24"/>
              </w:rPr>
              <w:t>3.《智能车辆决策规划与控制》</w:t>
            </w:r>
          </w:p>
          <w:p>
            <w:pPr>
              <w:rPr>
                <w:rFonts w:ascii="方正仿宋_GBK" w:hAnsi="宋体" w:eastAsia="方正仿宋_GBK" w:cs="宋体"/>
                <w:sz w:val="24"/>
                <w:szCs w:val="24"/>
              </w:rPr>
            </w:pPr>
            <w:r>
              <w:rPr>
                <w:rFonts w:hint="eastAsia" w:ascii="方正仿宋_GBK" w:hAnsi="宋体" w:eastAsia="方正仿宋_GBK" w:cs="宋体"/>
                <w:sz w:val="24"/>
                <w:szCs w:val="24"/>
              </w:rPr>
              <w:t>4.《Python程序设计》</w:t>
            </w:r>
          </w:p>
          <w:p>
            <w:pPr>
              <w:rPr>
                <w:rFonts w:ascii="方正仿宋_GBK" w:hAnsi="宋体" w:eastAsia="方正仿宋_GBK" w:cs="宋体"/>
                <w:sz w:val="24"/>
                <w:szCs w:val="24"/>
              </w:rPr>
            </w:pPr>
            <w:r>
              <w:rPr>
                <w:rFonts w:hint="eastAsia" w:ascii="方正仿宋_GBK" w:hAnsi="宋体" w:eastAsia="方正仿宋_GBK" w:cs="宋体"/>
                <w:sz w:val="24"/>
                <w:szCs w:val="24"/>
              </w:rPr>
              <w:t>5.《MATLAB/Simulink入门经典教材》</w:t>
            </w:r>
          </w:p>
          <w:p>
            <w:pPr>
              <w:rPr>
                <w:rFonts w:ascii="方正仿宋_GBK" w:hAnsi="宋体" w:eastAsia="方正仿宋_GBK" w:cs="宋体"/>
                <w:sz w:val="24"/>
                <w:szCs w:val="24"/>
              </w:rPr>
            </w:pPr>
            <w:r>
              <w:rPr>
                <w:rFonts w:hint="eastAsia" w:ascii="方正仿宋_GBK" w:hAnsi="宋体" w:eastAsia="方正仿宋_GBK" w:cs="宋体"/>
                <w:sz w:val="24"/>
                <w:szCs w:val="24"/>
              </w:rPr>
              <w:t xml:space="preserve">▲支持开设实验课程：  </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1车道保持实验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2紧急制动实验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3自适应巡航实验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4预碰撞安全实验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5自动泊车实验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6斑马线识别并制动实验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7红绿灯识别并制动实验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8基于Hyperlpr车牌识别实验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9手势识别及交互实验</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10基于Slam建图定位</w:t>
            </w:r>
          </w:p>
          <w:p>
            <w:pPr>
              <w:spacing w:line="400" w:lineRule="exact"/>
              <w:jc w:val="left"/>
              <w:rPr>
                <w:rFonts w:ascii="方正仿宋_GBK" w:hAnsi="宋体" w:eastAsia="方正仿宋_GBK" w:cs="宋体"/>
                <w:sz w:val="24"/>
                <w:szCs w:val="24"/>
              </w:rPr>
            </w:pPr>
            <w:r>
              <w:rPr>
                <w:rFonts w:hint="eastAsia" w:ascii="方正仿宋_GBK" w:hAnsi="宋体" w:eastAsia="方正仿宋_GBK" w:cs="宋体"/>
                <w:sz w:val="24"/>
                <w:szCs w:val="24"/>
              </w:rPr>
              <w:t>11基于Slam建图路径规划</w:t>
            </w:r>
          </w:p>
        </w:tc>
      </w:tr>
      <w:tr>
        <w:tblPrEx>
          <w:tblCellMar>
            <w:top w:w="0" w:type="dxa"/>
            <w:left w:w="0" w:type="dxa"/>
            <w:bottom w:w="0" w:type="dxa"/>
            <w:right w:w="0" w:type="dxa"/>
          </w:tblCellMar>
        </w:tblPrEx>
        <w:trPr>
          <w:trHeight w:val="404" w:hRule="atLeast"/>
          <w:jc w:val="center"/>
        </w:trPr>
        <w:tc>
          <w:tcPr>
            <w:tcW w:w="67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ascii="方正仿宋_GBK" w:hAnsi="宋体" w:eastAsia="方正仿宋_GBK" w:cs="宋体"/>
                <w:sz w:val="24"/>
                <w:szCs w:val="24"/>
              </w:rPr>
            </w:pPr>
            <w:r>
              <w:rPr>
                <w:rFonts w:hint="eastAsia" w:ascii="方正仿宋_GBK" w:hAnsi="宋体" w:eastAsia="方正仿宋_GBK" w:cs="宋体"/>
                <w:sz w:val="24"/>
                <w:szCs w:val="24"/>
              </w:rPr>
              <w:t>3</w:t>
            </w:r>
          </w:p>
        </w:tc>
        <w:tc>
          <w:tcPr>
            <w:tcW w:w="1595"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滑板底盘自动驾驶汽车</w:t>
            </w:r>
          </w:p>
        </w:tc>
        <w:tc>
          <w:tcPr>
            <w:tcW w:w="8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底盘</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1.机械参数</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▲1.1整车尺寸（含覆盖件）：≥1200×600×1400mm，≤1400×800×1600mm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1.2轴距：500-700mm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1.3轮距：500-700mm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1.4整备质量：120-140kg</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▲1.5满载质量：200-240kg</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1.6转向：前转后驱,阿克曼转向</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1.7车架：钢管桁架式钣金车架（Q235）</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1.8制动：电机制动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1.9驱动：电机驱动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▲1.10悬架：整体桥式悬挂</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1.11驻车：电磁抱闸</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1.12轮胎规格：120/70-10，420mm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2.性能参数</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2.1最高车速：8km/h</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2.2驱动电机功率：1000W</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▲2.3电池参数：48V/20AH</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2.4续航里程：20-30km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▲2.5最大爬坡度</w:t>
            </w:r>
            <w:r>
              <w:rPr>
                <w:rFonts w:hint="eastAsia" w:ascii="方正仿宋_GBK" w:hAnsi="宋体" w:eastAsia="方正仿宋_GBK" w:cs="宋体"/>
                <w:sz w:val="24"/>
                <w:szCs w:val="24"/>
              </w:rPr>
              <w:tab/>
            </w:r>
            <w:r>
              <w:rPr>
                <w:rFonts w:hint="eastAsia" w:ascii="方正仿宋_GBK" w:hAnsi="宋体" w:eastAsia="方正仿宋_GBK" w:cs="宋体"/>
                <w:sz w:val="24"/>
                <w:szCs w:val="24"/>
              </w:rPr>
              <w:t>：＞10 %</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2.6最小转弯半径：＜2m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2.7最小离地间隙：＞115mm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3.控制参数</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※3.1转向控制精度:±0.5°</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3.2遥控器:极限距离100m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3.3通讯协议:CAN 2.0</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激光雷达</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1.1电压：9V-36V</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▲1.2线束：16</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1.3激光波长：905nm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1.4盲区：≤0.2m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1.5精度：±3cm(0.1m-1m)；±2cm(1m-100m)；±3cm(100m-150m)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▲1.6距离：150m（110m@10%NIST)</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▲1.7水平视场：360°</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1.8垂直视场角：30°（-15°~＋15°）</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1.9帧率：5Hz/10Hz/20Hz</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1.10转速：300/600/1200rpm（5/10/20Hz）</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计算单元</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▲2.1CPU：i7 10700e</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2.2RAM：32G</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▲2.3SSD：512G</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▲2.4显卡：3070</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2.5串口：2*RS-232，422，485</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▲2.6操作系统：自持ubuntu18.04，20.04</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2.7抗干扰：ip40防尘</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2.8适应温度范围：-20度到70度</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组合惯导</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3.1电压：9V-32V（标准适配12V DC）</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▲3.2姿态精度：0.1°（基线长度≥2m）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▲3.3定位精度（RMS）：单点L1/L2：1.2m； DGPS：0.4m ；RTK：1cm+1ppm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▲3.4数据更新率：100Hz</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3.5初始化时间: 1min</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3.6陀螺类型: MEMS</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 xml:space="preserve">3.7陀螺量程:±400 º/s </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 xml:space="preserve">3.8加速度计量程:±8g </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毫米波雷达</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▲4.1距离：0.20-250m 远距,0.20-70m/100m@0～＋45°近距，0.20-20m@0～+60°近距</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4.2距离分辨率：0.39近距，1.79远距</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▲4.3距离精度：士0.40m远距，士0.10m近距</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▲4.4方位角（水平视角FOV）：-9.0°～+9.0°远距, -60°～+60°近距</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▲4.5俯仰角（垂直视野FOV）：14°远距，20°近距</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4.6测速范围：-400km/h～＋200km/h（-远离～＋接近）</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4.7速度分辨率：0.37km/h远距，0.43km/h近距</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4.8速度精确度：±0.1km/h</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4.9周期：60ms</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4.10天线通道：4TX/2x6RX 24个通道，2TX/6RX远距～2TX/6RX近距，数字波束形成</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相机</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5.1深度技术：双目红外</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5.2图像传感技术：全局快门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▲5.3深度视场角：87°x58°</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▲5.4深度分辨率：1280 x720</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5.5深度精度：2米内＜2%</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5.6景深速率：90fps</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5.7RGB传感器技术：卷帘门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5.8RGB传感器分辨率：2MP</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▲5.9RGB传感器FOV（HxV）: 69°x42°</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▲5.10距离：0.3-3m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超声波雷达</w:t>
            </w:r>
            <w:r>
              <w:rPr>
                <w:rFonts w:hint="eastAsia" w:ascii="方正仿宋_GBK" w:hAnsi="宋体" w:eastAsia="方正仿宋_GBK" w:cs="宋体"/>
                <w:sz w:val="24"/>
                <w:szCs w:val="24"/>
              </w:rPr>
              <w:tab/>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 xml:space="preserve">6.1电压：12V-24V </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 xml:space="preserve">▲6.2测距范围：200mm-3500mm </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6.3极限范围：130mm-5000mm（反射面为墙面）</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▲6.4精度:探测距离的 0.5%</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6.5分辨率：5mm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6.6通信接口：兼容CAN2.0A/CAN2.0B</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▲6.7采样率及CAN发送周期：100ms</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▲6.8探头发射角：60º</w:t>
            </w:r>
          </w:p>
          <w:p>
            <w:pPr>
              <w:pStyle w:val="14"/>
              <w:ind w:left="560"/>
              <w:rPr>
                <w:rFonts w:ascii="方正仿宋_GBK" w:hAnsi="宋体" w:eastAsia="方正仿宋_GBK" w:cs="宋体"/>
                <w:sz w:val="24"/>
                <w:szCs w:val="24"/>
              </w:rPr>
            </w:pPr>
            <w:r>
              <w:rPr>
                <w:rFonts w:hint="eastAsia" w:ascii="方正仿宋_GBK" w:hAnsi="宋体" w:eastAsia="方正仿宋_GBK" w:cs="宋体"/>
                <w:sz w:val="24"/>
                <w:szCs w:val="24"/>
              </w:rPr>
              <w:t>具体功能及要求：</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 环境搭建</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（1）nvidia驱动安装操作视频、操作指导手册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（2）Docker安装操作视频、操作指导手册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（3）Apollo安装操作视频、操作指导手册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（4）免费提供以上三项软件并指导采购方安装操作</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 传感器使用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（1）摄像头数据读取操作视频、操作指导手册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（2）激光雷达数据读取操作视频、操作指导手册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（3）GNSS数据读取操作视频、操作指导手册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（4）超声波数据读取操作视频、操作指导手册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（5）毫米波数据读取操作视频、操作指导手册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（6）车规级传感器的认知、通信、数据解析视频、操作指导手册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（7）传感器标定教学操作视频、操作指导手册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3．功能</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（1）数据录制与播放操作视频、操作指导手册、实验指导书、实验报告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（2）高精度地图制作操作视频、操作指导手册、实验指导书、实验报告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▲（3）apollo-NDT定位操作视频、操作指导手册、实验指导书、实验报告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※（4）多传感器融合定位（IMU，GNSS，NDT）操作视频、操作指导手册、实验指导书、实验报告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（5）局部路径规划操作视频、操作指导手册、实验指导书、实验报告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▲（6）全局路径规划操作视频、操作指导手册、实验指导书、实验报告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（7）底盘控制操作视频、操作指导手册、实验指导书、实验报告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▲（8）激光雷达寻迹点导航操作视频、操作指导手册、实验指导书、实验报告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（9）激光雷达目标检测操作视频、操作指导手册、实验指导书、实验报告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（10）摄像头目标检测操作视频、操作指导手册、实验指导书、实验报告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（11）红绿灯通行操作视频、操作指导手册、实验指导书、实验报告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※（12）基于激光雷达的自主泊车操作视频、操作指导手册、实验指导书、实验报告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※（13）激光雷达与相机融合目标检测操作视频、操作指导手册、实验指导书、实验报告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（14）车道线实时检测操作视频、操作指导手册、实验指导书、实验报告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（15）非结构道路下路径规划操作视频、操作指导手册、实验指导书、实验报告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（16）基于PID策略的智能车辆纵向控制操作视频、操作指导手册、实验指导书、实验报告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（17）基于目标感知的自动起停操作视频、操作指导手册、实验指导书、实验报告</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▲支持开展课程：</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1.《汽车自动驾驶》</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2.《智能车辆控制基础》</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3.《汽车控制理论与应用》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▲支持开展实验课程：</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1.激光雷达航迹点导航实验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2路径规划与控制实验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3.定点停车实验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4.紧急制动实验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5.超声波避障实验</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6.行人识别实验</w:t>
            </w:r>
          </w:p>
        </w:tc>
      </w:tr>
      <w:tr>
        <w:tblPrEx>
          <w:tblCellMar>
            <w:top w:w="0" w:type="dxa"/>
            <w:left w:w="0" w:type="dxa"/>
            <w:bottom w:w="0" w:type="dxa"/>
            <w:right w:w="0" w:type="dxa"/>
          </w:tblCellMar>
        </w:tblPrEx>
        <w:trPr>
          <w:trHeight w:val="699" w:hRule="atLeast"/>
          <w:jc w:val="center"/>
        </w:trPr>
        <w:tc>
          <w:tcPr>
            <w:tcW w:w="67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ascii="方正仿宋_GBK" w:hAnsi="宋体" w:eastAsia="方正仿宋_GBK" w:cs="宋体"/>
                <w:sz w:val="24"/>
                <w:szCs w:val="24"/>
              </w:rPr>
            </w:pPr>
            <w:r>
              <w:rPr>
                <w:rFonts w:hint="eastAsia" w:ascii="方正仿宋_GBK" w:hAnsi="宋体" w:eastAsia="方正仿宋_GBK" w:cs="宋体"/>
                <w:sz w:val="24"/>
                <w:szCs w:val="24"/>
              </w:rPr>
              <w:t>4</w:t>
            </w:r>
          </w:p>
        </w:tc>
        <w:tc>
          <w:tcPr>
            <w:tcW w:w="1595"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正方形操作台</w:t>
            </w:r>
          </w:p>
        </w:tc>
        <w:tc>
          <w:tcPr>
            <w:tcW w:w="8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1.长×宽×高：≥1000mm×1000mm×400mm、≤1500mm×1500mm×500mm，桌面加厚不低于250mm</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2.提供不低于4个插座用于连接电源适配器或充电器。</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3.提供开关按钮，用于控制智能车辆的电源或其他设备的开关。</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4.提供指示灯，用于显示操作台的电源状态，方便学生了解是否正常供电。</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5.提供线缆管理功能，如固定夹或线槽，用于整理和固定智能车辆连接线缆，保持操作台整洁有序。</w:t>
            </w:r>
          </w:p>
          <w:p>
            <w:pPr>
              <w:ind w:firstLine="240" w:firstLineChars="100"/>
              <w:jc w:val="left"/>
              <w:rPr>
                <w:rFonts w:ascii="方正仿宋_GBK" w:hAnsi="宋体" w:eastAsia="方正仿宋_GBK" w:cs="宋体"/>
                <w:sz w:val="24"/>
                <w:szCs w:val="24"/>
              </w:rPr>
            </w:pPr>
            <w:r>
              <w:rPr>
                <w:rFonts w:hint="eastAsia" w:ascii="方正仿宋_GBK" w:hAnsi="宋体" w:eastAsia="方正仿宋_GBK" w:cs="宋体"/>
                <w:sz w:val="24"/>
                <w:szCs w:val="24"/>
              </w:rPr>
              <w:t>6.提供不少于4个扩展接口，如USB接口或扩展插槽，以便可以连接更多的设备或模块</w:t>
            </w:r>
            <w:r>
              <w:rPr>
                <w:rFonts w:hint="eastAsia"/>
              </w:rPr>
              <w:t>。</w:t>
            </w:r>
          </w:p>
        </w:tc>
      </w:tr>
    </w:tbl>
    <w:p/>
    <w:p>
      <w:pPr>
        <w:pStyle w:val="14"/>
        <w:spacing w:line="360" w:lineRule="auto"/>
        <w:ind w:left="560"/>
        <w:rPr>
          <w:rFonts w:ascii="宋体" w:hAnsi="宋体" w:cs="宋体"/>
          <w:sz w:val="24"/>
          <w:szCs w:val="24"/>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pPr>
        <w:pStyle w:val="3"/>
        <w:numPr>
          <w:ilvl w:val="0"/>
          <w:numId w:val="12"/>
        </w:numPr>
        <w:spacing w:before="0" w:after="0" w:line="360" w:lineRule="auto"/>
        <w:jc w:val="center"/>
        <w:rPr>
          <w:rFonts w:ascii="方正小标宋_GBK" w:hAnsi="宋体" w:eastAsia="方正小标宋_GBK"/>
          <w:b w:val="0"/>
          <w:sz w:val="36"/>
          <w:szCs w:val="30"/>
        </w:rPr>
      </w:pPr>
      <w:bookmarkStart w:id="30" w:name="_Toc12789058"/>
      <w:bookmarkStart w:id="31" w:name="_Toc42600929"/>
      <w:r>
        <w:rPr>
          <w:rFonts w:hint="eastAsia" w:ascii="方正小标宋_GBK" w:hAnsi="宋体" w:eastAsia="方正小标宋_GBK"/>
          <w:b w:val="0"/>
          <w:sz w:val="36"/>
          <w:szCs w:val="30"/>
        </w:rPr>
        <w:t>项目</w:t>
      </w:r>
      <w:bookmarkEnd w:id="30"/>
      <w:r>
        <w:rPr>
          <w:rFonts w:hint="eastAsia" w:ascii="方正小标宋_GBK" w:hAnsi="宋体" w:eastAsia="方正小标宋_GBK"/>
          <w:b w:val="0"/>
          <w:sz w:val="36"/>
          <w:szCs w:val="30"/>
        </w:rPr>
        <w:t>商务要求</w:t>
      </w:r>
      <w:bookmarkEnd w:id="31"/>
    </w:p>
    <w:p>
      <w:pPr>
        <w:snapToGrid w:val="0"/>
        <w:spacing w:line="400" w:lineRule="exact"/>
        <w:ind w:firstLine="480" w:firstLineChars="200"/>
        <w:rPr>
          <w:rFonts w:ascii="方正仿宋_GBK" w:hAnsi="宋体" w:eastAsia="方正仿宋_GBK"/>
          <w:sz w:val="24"/>
          <w:szCs w:val="24"/>
        </w:rPr>
      </w:pPr>
      <w:r>
        <w:rPr>
          <w:rFonts w:hint="eastAsia" w:ascii="宋体" w:hAnsi="宋体" w:cs="宋体"/>
          <w:sz w:val="24"/>
          <w:szCs w:val="28"/>
        </w:rPr>
        <w:t>“</w:t>
      </w:r>
      <w:r>
        <w:rPr>
          <w:rFonts w:hint="eastAsia" w:ascii="宋体" w:hAnsi="宋体" w:cs="宋体"/>
          <w:kern w:val="0"/>
          <w:sz w:val="21"/>
          <w:szCs w:val="21"/>
        </w:rPr>
        <w:t>※</w:t>
      </w:r>
      <w:r>
        <w:rPr>
          <w:rFonts w:hint="eastAsia" w:ascii="宋体" w:hAnsi="宋体" w:cs="宋体"/>
          <w:sz w:val="24"/>
          <w:szCs w:val="28"/>
        </w:rPr>
        <w:t>”</w:t>
      </w:r>
      <w:r>
        <w:rPr>
          <w:rFonts w:hint="eastAsia" w:ascii="方正仿宋_GBK" w:hAnsi="宋体" w:eastAsia="方正仿宋_GBK"/>
          <w:sz w:val="24"/>
          <w:szCs w:val="24"/>
        </w:rPr>
        <w:t>标注的商务要求为符合性审查中的实质性要求，投标文件若不满足按无效投标处理。</w:t>
      </w:r>
    </w:p>
    <w:p>
      <w:pPr>
        <w:pStyle w:val="4"/>
        <w:spacing w:before="0" w:after="0" w:line="440" w:lineRule="exact"/>
        <w:rPr>
          <w:rFonts w:ascii="方正仿宋_GBK" w:hAnsi="宋体" w:eastAsia="方正仿宋_GBK"/>
          <w:sz w:val="24"/>
          <w:szCs w:val="24"/>
        </w:rPr>
      </w:pPr>
      <w:bookmarkStart w:id="32" w:name="_Toc42600930"/>
      <w:bookmarkStart w:id="33" w:name="_Toc344475120"/>
      <w:r>
        <w:rPr>
          <w:rFonts w:hint="eastAsia" w:ascii="方正仿宋_GBK" w:hAnsi="宋体" w:eastAsia="方正仿宋_GBK"/>
          <w:sz w:val="24"/>
          <w:szCs w:val="24"/>
        </w:rPr>
        <w:t>一、实施时间、地点及验收方式</w:t>
      </w:r>
      <w:bookmarkEnd w:id="32"/>
      <w:bookmarkEnd w:id="33"/>
    </w:p>
    <w:p>
      <w:pPr>
        <w:spacing w:line="480" w:lineRule="exact"/>
        <w:ind w:firstLine="420" w:firstLineChars="200"/>
        <w:rPr>
          <w:rFonts w:ascii="方正仿宋_GBK" w:hAnsi="宋体" w:eastAsia="方正仿宋_GBK"/>
          <w:sz w:val="24"/>
          <w:szCs w:val="24"/>
        </w:rPr>
      </w:pPr>
      <w:r>
        <w:rPr>
          <w:rFonts w:hint="eastAsia" w:ascii="宋体" w:hAnsi="宋体" w:cs="宋体"/>
          <w:kern w:val="0"/>
          <w:sz w:val="21"/>
          <w:szCs w:val="21"/>
        </w:rPr>
        <w:t>※</w:t>
      </w:r>
      <w:r>
        <w:rPr>
          <w:rFonts w:hint="eastAsia" w:ascii="方正仿宋_GBK" w:hAnsi="宋体" w:eastAsia="方正仿宋_GBK"/>
          <w:sz w:val="24"/>
          <w:szCs w:val="24"/>
        </w:rPr>
        <w:t>（一）实施时间</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中标人应在采购合同签订后</w:t>
      </w:r>
      <w:r>
        <w:rPr>
          <w:rFonts w:hint="eastAsia" w:ascii="方正仿宋_GBK" w:hAnsi="宋体" w:eastAsia="方正仿宋_GBK"/>
          <w:color w:val="000000" w:themeColor="text1"/>
          <w:sz w:val="24"/>
          <w:szCs w:val="24"/>
        </w:rPr>
        <w:t>60个日历日</w:t>
      </w:r>
      <w:r>
        <w:rPr>
          <w:rFonts w:hint="eastAsia" w:ascii="方正仿宋_GBK" w:hAnsi="宋体" w:eastAsia="方正仿宋_GBK"/>
          <w:sz w:val="24"/>
          <w:szCs w:val="24"/>
        </w:rPr>
        <w:t>内交货，并完成安装调试。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（二）实施地点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实施地点：采购人指定地点。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1.货物到达现场后，中标人应经采购人或其指定验收单位清点品名、规格、数量；检查外观，作出验收记录，双方签字确认。</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2.中标人应保证货物到达用户所在地完好无损，如有缺漏、损坏，由中标人负责调换、补齐或赔偿。</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3.本项目自安装调试完成之日起试运行期为30个日历日。在试运行期间未出现质量问题，由采购人组织竣工验收，形成验收报告。</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 中标人应提供完备的技术资料、装箱单和合格证等，并派遣专业技术人员进行现场安装调试。验收合格条件如下：</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.1设备品种、规格、数量、技术参数以及商品品牌、制造商等与采购合同一致，性能指标达到规定的标准。</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.2货物技术资料、装箱单、合格证等资料齐全。</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.3在规定时间内完成交货并验收，并经采购人确认。</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 中标人提供的货物未达到招标文件规定要求，且对采购人造成损失的，由中标人承担一切责任，并赔偿所造成的损失。</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.大型或者复杂的采购产品项目，采购人可邀请国家认可的质量检测机构参加验收工作。</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.采购人需要制造商对中标人交付的产品（包括质量、技术参数等）进行确认的，制造商应予以配合，并出具书面意见。</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8</w:t>
      </w:r>
      <w:r>
        <w:rPr>
          <w:rFonts w:hint="eastAsia" w:ascii="方正仿宋_GBK" w:hAnsi="宋体" w:eastAsia="方正仿宋_GBK"/>
          <w:sz w:val="24"/>
          <w:szCs w:val="24"/>
        </w:rPr>
        <w:t>.产品包装材料归采购人所有。</w:t>
      </w:r>
    </w:p>
    <w:p>
      <w:pPr>
        <w:pStyle w:val="4"/>
        <w:spacing w:before="0" w:after="0" w:line="400" w:lineRule="exact"/>
        <w:rPr>
          <w:rFonts w:ascii="方正仿宋_GBK" w:hAnsi="宋体" w:eastAsia="方正仿宋_GBK"/>
          <w:sz w:val="24"/>
          <w:szCs w:val="24"/>
        </w:rPr>
      </w:pPr>
      <w:bookmarkStart w:id="34" w:name="_Toc344475121"/>
      <w:bookmarkStart w:id="35" w:name="_Toc42600931"/>
      <w:r>
        <w:rPr>
          <w:rFonts w:hint="eastAsia" w:ascii="方正仿宋_GBK" w:hAnsi="宋体" w:eastAsia="方正仿宋_GBK"/>
          <w:sz w:val="24"/>
          <w:szCs w:val="24"/>
        </w:rPr>
        <w:t>二、质量保证及售后服务</w:t>
      </w:r>
      <w:bookmarkEnd w:id="34"/>
      <w:bookmarkEnd w:id="3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（一）产品质量保证期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1.自验收之日起，提供不少于</w:t>
      </w:r>
      <w:r>
        <w:rPr>
          <w:rFonts w:hint="eastAsia" w:ascii="方正仿宋_GBK" w:hAnsi="宋体" w:eastAsia="方正仿宋_GBK"/>
          <w:color w:val="000000" w:themeColor="text1"/>
          <w:sz w:val="24"/>
          <w:szCs w:val="24"/>
        </w:rPr>
        <w:t>壹年的免费质保期，同时提供不少于百分之五的质保金</w:t>
      </w:r>
      <w:r>
        <w:rPr>
          <w:rFonts w:hint="eastAsia" w:ascii="方正仿宋_GBK" w:hAnsi="宋体" w:eastAsia="方正仿宋_GBK"/>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2.采购货物属于国家规定“三包”范围的，其产品质量保证期不得低于“三包”规定。</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3.投标人的质量保证期承诺优于国家“三包”规定的，按投标人实际承诺执行。</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4.采购货物由产品制造商（指产品生产制造商或其负责销售、售后服务机构，以下同）负责标准售后服务，应当在投标文件中予以明确说明，并提供产品制造商售后服务承诺函等证明文件。</w:t>
      </w:r>
    </w:p>
    <w:p>
      <w:pPr>
        <w:spacing w:line="480" w:lineRule="exact"/>
        <w:ind w:firstLine="420" w:firstLineChars="200"/>
        <w:rPr>
          <w:rFonts w:ascii="方正仿宋_GBK" w:hAnsi="宋体" w:eastAsia="方正仿宋_GBK"/>
          <w:bCs/>
          <w:color w:val="FF0000"/>
          <w:sz w:val="24"/>
          <w:szCs w:val="24"/>
        </w:rPr>
      </w:pPr>
      <w:r>
        <w:rPr>
          <w:rFonts w:hint="eastAsia" w:ascii="宋体" w:hAnsi="宋体" w:cs="宋体"/>
          <w:kern w:val="0"/>
          <w:sz w:val="21"/>
          <w:szCs w:val="21"/>
        </w:rPr>
        <w:t>※</w:t>
      </w:r>
      <w:r>
        <w:rPr>
          <w:rFonts w:ascii="方正仿宋_GBK" w:hAnsi="宋体" w:eastAsia="方正仿宋_GBK"/>
          <w:bCs/>
          <w:color w:val="000000" w:themeColor="text1"/>
          <w:sz w:val="24"/>
          <w:szCs w:val="24"/>
        </w:rPr>
        <w:t>5.</w:t>
      </w:r>
      <w:r>
        <w:rPr>
          <w:rFonts w:hint="eastAsia" w:ascii="方正仿宋_GBK" w:hAnsi="宋体" w:eastAsia="方正仿宋_GBK"/>
          <w:bCs/>
          <w:color w:val="000000" w:themeColor="text1"/>
          <w:sz w:val="24"/>
          <w:szCs w:val="24"/>
        </w:rPr>
        <w:t>投标人需承诺项目验收后</w:t>
      </w:r>
      <w:r>
        <w:rPr>
          <w:rFonts w:ascii="方正仿宋_GBK" w:hAnsi="宋体" w:eastAsia="方正仿宋_GBK"/>
          <w:bCs/>
          <w:color w:val="000000" w:themeColor="text1"/>
          <w:sz w:val="24"/>
          <w:szCs w:val="24"/>
        </w:rPr>
        <w:t>若出现学校校区搬迁等情况，需要对本项目涉及</w:t>
      </w:r>
      <w:r>
        <w:rPr>
          <w:rFonts w:hint="eastAsia" w:ascii="方正仿宋_GBK" w:hAnsi="宋体" w:eastAsia="方正仿宋_GBK"/>
          <w:bCs/>
          <w:color w:val="000000" w:themeColor="text1"/>
          <w:sz w:val="24"/>
          <w:szCs w:val="24"/>
        </w:rPr>
        <w:t>标的进行搬迁时，免费为用户提供一次重庆市内搬迁服务，投标时需出具相关承诺证明。</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投标人和制造商在质量保证期内应当为采购人提供以下技术支持服务：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1.质量保证期内服务要求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1.1电话咨询</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中标人和制造商应当为用户提供7*24技术援助电话，解答用户在使用中遇到的问题，及时为用户提出解决问题的建议。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1.2现场响应</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用户遇到使用及技术问题，电话咨询不能解决的，中标人或制造商应在</w:t>
      </w:r>
      <w:r>
        <w:rPr>
          <w:rFonts w:ascii="方正仿宋_GBK" w:hAnsi="宋体" w:eastAsia="方正仿宋_GBK"/>
          <w:sz w:val="24"/>
          <w:szCs w:val="24"/>
        </w:rPr>
        <w:t>4</w:t>
      </w:r>
      <w:r>
        <w:rPr>
          <w:rFonts w:hint="eastAsia" w:ascii="方正仿宋_GBK" w:hAnsi="宋体" w:eastAsia="方正仿宋_GBK"/>
          <w:sz w:val="24"/>
          <w:szCs w:val="24"/>
        </w:rPr>
        <w:t>小时内采取相应响应措施；无法在</w:t>
      </w:r>
      <w:r>
        <w:rPr>
          <w:rFonts w:ascii="方正仿宋_GBK" w:hAnsi="宋体" w:eastAsia="方正仿宋_GBK"/>
          <w:sz w:val="24"/>
          <w:szCs w:val="24"/>
        </w:rPr>
        <w:t>4</w:t>
      </w:r>
      <w:r>
        <w:rPr>
          <w:rFonts w:hint="eastAsia" w:ascii="方正仿宋_GBK" w:hAnsi="宋体" w:eastAsia="方正仿宋_GBK"/>
          <w:sz w:val="24"/>
          <w:szCs w:val="24"/>
        </w:rPr>
        <w:t>小时内解决的，应在</w:t>
      </w:r>
      <w:r>
        <w:rPr>
          <w:rFonts w:ascii="方正仿宋_GBK" w:hAnsi="宋体" w:eastAsia="方正仿宋_GBK"/>
          <w:sz w:val="24"/>
          <w:szCs w:val="24"/>
        </w:rPr>
        <w:t>8</w:t>
      </w:r>
      <w:r>
        <w:rPr>
          <w:rFonts w:hint="eastAsia" w:ascii="方正仿宋_GBK" w:hAnsi="宋体" w:eastAsia="方正仿宋_GBK"/>
          <w:sz w:val="24"/>
          <w:szCs w:val="24"/>
        </w:rPr>
        <w:t>小时内派出专业人员进行技术支持。</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1.3技术升级</w:t>
      </w:r>
    </w:p>
    <w:p>
      <w:pPr>
        <w:spacing w:line="480" w:lineRule="exact"/>
        <w:ind w:firstLine="480" w:firstLineChars="200"/>
      </w:pPr>
      <w:r>
        <w:rPr>
          <w:rFonts w:hint="eastAsia" w:ascii="方正仿宋_GBK" w:hAnsi="宋体" w:eastAsia="方正仿宋_GBK"/>
          <w:sz w:val="24"/>
          <w:szCs w:val="24"/>
        </w:rPr>
        <w:t>在质保期内，如果中标人和制造商的产品技术升级，中标人应及时通知采购人，如采购人有相应要求，中标人和制造商应对采购人进行升级服务。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2.1质量保证期过后，中标人和制造商应同样提供7*24免费电话咨询服务，并应承诺提供产品上门维护服务。</w:t>
      </w:r>
    </w:p>
    <w:p>
      <w:pPr>
        <w:spacing w:line="480" w:lineRule="exact"/>
        <w:ind w:firstLine="480" w:firstLineChars="200"/>
      </w:pPr>
      <w:r>
        <w:rPr>
          <w:rFonts w:hint="eastAsia" w:ascii="方正仿宋_GBK" w:hAnsi="宋体" w:eastAsia="方正仿宋_GBK"/>
          <w:sz w:val="24"/>
          <w:szCs w:val="24"/>
        </w:rPr>
        <w:t>2.2质量保证期过后，采购人需要继续由原中标人和制造商提供售后服务的，中标人和制造商应以优惠价格提供售后服务。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（三）故障响应时间要求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中标人接到使用方产品出现问题的通知后立即作出响应，4小时内到达现场进行处理。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（四）维修配件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pPr>
        <w:pStyle w:val="4"/>
        <w:spacing w:before="0" w:after="0" w:line="400" w:lineRule="exact"/>
        <w:rPr>
          <w:rFonts w:ascii="方正仿宋_GBK" w:hAnsi="宋体" w:eastAsia="方正仿宋_GBK"/>
          <w:sz w:val="24"/>
          <w:szCs w:val="24"/>
        </w:rPr>
      </w:pPr>
      <w:bookmarkStart w:id="36" w:name="_Toc42600932"/>
      <w:bookmarkStart w:id="37" w:name="_Toc344475122"/>
      <w:r>
        <w:rPr>
          <w:rFonts w:hint="eastAsia" w:ascii="方正仿宋_GBK" w:hAnsi="宋体" w:eastAsia="方正仿宋_GBK"/>
          <w:sz w:val="24"/>
          <w:szCs w:val="24"/>
        </w:rPr>
        <w:t>三、报价要求</w:t>
      </w:r>
      <w:bookmarkEnd w:id="36"/>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pPr>
        <w:pStyle w:val="4"/>
        <w:spacing w:before="0" w:after="0" w:line="400" w:lineRule="exact"/>
        <w:rPr>
          <w:rFonts w:ascii="方正仿宋_GBK" w:hAnsi="宋体" w:eastAsia="方正仿宋_GBK"/>
          <w:sz w:val="24"/>
          <w:szCs w:val="24"/>
        </w:rPr>
      </w:pPr>
      <w:bookmarkStart w:id="38" w:name="_Toc42600933"/>
      <w:r>
        <w:rPr>
          <w:rFonts w:hint="eastAsia" w:ascii="方正仿宋_GBK" w:hAnsi="宋体" w:eastAsia="方正仿宋_GBK"/>
          <w:sz w:val="24"/>
          <w:szCs w:val="24"/>
        </w:rPr>
        <w:t>四、付款方式</w:t>
      </w:r>
      <w:bookmarkEnd w:id="37"/>
      <w:bookmarkEnd w:id="38"/>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本项目由采购人付款：</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（一）合同签订前中标人向采购人以银行转账方式缴纳5%的履约保证金；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（二）中标人按采购合同交货并安装调试完成，经验收合格后采购人出具项目验收报告；</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（三）中标人提交采购合同、验收报告、发票等材料，向采购人申请付款；</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（四）采购人对成交供应商提交的付款资料审核通过后，以转账方式向中标人支付款项；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（五）验收合格1年后，采购人无息退还履约保证金。</w:t>
      </w:r>
    </w:p>
    <w:p>
      <w:pPr>
        <w:pStyle w:val="4"/>
        <w:spacing w:before="0" w:after="0" w:line="400" w:lineRule="exact"/>
        <w:rPr>
          <w:rFonts w:ascii="方正仿宋_GBK" w:hAnsi="宋体" w:eastAsia="方正仿宋_GBK"/>
          <w:sz w:val="24"/>
          <w:szCs w:val="24"/>
        </w:rPr>
      </w:pPr>
      <w:bookmarkStart w:id="39" w:name="_Toc42600934"/>
      <w:bookmarkStart w:id="40" w:name="_Toc344475123"/>
      <w:r>
        <w:rPr>
          <w:rFonts w:hint="eastAsia" w:ascii="方正仿宋_GBK" w:hAnsi="宋体" w:eastAsia="方正仿宋_GBK"/>
          <w:sz w:val="24"/>
          <w:szCs w:val="24"/>
        </w:rPr>
        <w:t>五、知识产权</w:t>
      </w:r>
      <w:bookmarkEnd w:id="39"/>
      <w:bookmarkEnd w:id="40"/>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41" w:name="_Toc3380252"/>
      <w:bookmarkStart w:id="42" w:name="_Toc344475124"/>
      <w:r>
        <w:rPr>
          <w:rFonts w:hint="eastAsia" w:ascii="方正仿宋_GBK" w:hAnsi="宋体" w:eastAsia="方正仿宋_GBK"/>
          <w:sz w:val="24"/>
          <w:szCs w:val="24"/>
        </w:rPr>
        <w:t>六、培训</w:t>
      </w:r>
      <w:bookmarkEnd w:id="41"/>
      <w:bookmarkEnd w:id="42"/>
    </w:p>
    <w:p>
      <w:pPr>
        <w:spacing w:line="480" w:lineRule="exact"/>
        <w:ind w:firstLine="480" w:firstLineChars="200"/>
        <w:rPr>
          <w:rFonts w:ascii="方正仿宋_GBK" w:hAnsi="宋体" w:eastAsia="方正仿宋_GBK"/>
          <w:sz w:val="24"/>
          <w:szCs w:val="24"/>
        </w:rPr>
      </w:pPr>
      <w:bookmarkStart w:id="43" w:name="_Toc42600936"/>
      <w:r>
        <w:rPr>
          <w:rFonts w:hint="eastAsia" w:ascii="方正仿宋_GBK" w:hAnsi="宋体" w:eastAsia="方正仿宋_GBK"/>
          <w:sz w:val="24"/>
          <w:szCs w:val="24"/>
        </w:rPr>
        <w:t>中标人须提供对设备至少一次免费操作培训，确保相关使用人员能够正常操作相关设备。</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七、</w:t>
      </w:r>
      <w:bookmarkStart w:id="44" w:name="_Toc344475125"/>
      <w:r>
        <w:rPr>
          <w:rFonts w:hint="eastAsia" w:ascii="方正仿宋_GBK" w:hAnsi="宋体" w:eastAsia="方正仿宋_GBK"/>
          <w:sz w:val="24"/>
          <w:szCs w:val="24"/>
        </w:rPr>
        <w:t>其他</w:t>
      </w:r>
      <w:bookmarkEnd w:id="43"/>
    </w:p>
    <w:bookmarkEnd w:id="44"/>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（一）投标人必须在投标文件中对以上条款和服务承诺明确列出，承诺内容必须达到本篇及招标文件其他条款的要求。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spacing w:line="480" w:lineRule="exact"/>
        <w:ind w:firstLine="480" w:firstLineChars="200"/>
        <w:rPr>
          <w:rFonts w:ascii="方正小标宋_GBK" w:hAnsi="宋体" w:eastAsia="方正小标宋_GBK"/>
          <w:b/>
          <w:sz w:val="36"/>
          <w:szCs w:val="30"/>
        </w:rPr>
      </w:pPr>
      <w:r>
        <w:rPr>
          <w:rFonts w:hint="eastAsia" w:ascii="方正仿宋_GBK" w:hAnsi="宋体" w:eastAsia="方正仿宋_GBK"/>
          <w:sz w:val="24"/>
          <w:szCs w:val="24"/>
        </w:rPr>
        <w:t>（三）招标人的新校区搬迁工作，中标人应配合，免费提供一次包括但不限于沙盘重装、设备检查等搬迁服务。</w:t>
      </w:r>
      <w:r>
        <w:rPr>
          <w:rFonts w:ascii="宋体" w:hAnsi="宋体"/>
          <w:sz w:val="36"/>
          <w:szCs w:val="30"/>
        </w:rPr>
        <w:br w:type="page"/>
      </w:r>
      <w:bookmarkStart w:id="45" w:name="_Toc42600937"/>
      <w:r>
        <w:rPr>
          <w:rFonts w:hint="eastAsia" w:ascii="方正小标宋_GBK" w:hAnsi="宋体" w:eastAsia="方正小标宋_GBK"/>
          <w:sz w:val="36"/>
          <w:szCs w:val="30"/>
        </w:rPr>
        <w:t xml:space="preserve">第四篇  </w:t>
      </w:r>
      <w:bookmarkEnd w:id="29"/>
      <w:r>
        <w:rPr>
          <w:rFonts w:hint="eastAsia" w:ascii="方正小标宋_GBK" w:hAnsi="宋体" w:eastAsia="方正小标宋_GBK"/>
          <w:sz w:val="36"/>
          <w:szCs w:val="30"/>
        </w:rPr>
        <w:t>资格审查及评标办法</w:t>
      </w:r>
      <w:bookmarkEnd w:id="45"/>
    </w:p>
    <w:p>
      <w:pPr>
        <w:pStyle w:val="4"/>
        <w:spacing w:before="0" w:after="0" w:line="400" w:lineRule="exact"/>
        <w:rPr>
          <w:rFonts w:ascii="方正仿宋_GBK" w:hAnsi="宋体" w:eastAsia="方正仿宋_GBK"/>
          <w:sz w:val="24"/>
          <w:szCs w:val="24"/>
        </w:rPr>
      </w:pPr>
      <w:bookmarkStart w:id="46" w:name="_Toc527021999"/>
      <w:bookmarkStart w:id="47" w:name="_Toc42600938"/>
      <w:r>
        <w:rPr>
          <w:rFonts w:hint="eastAsia" w:ascii="方正仿宋_GBK" w:hAnsi="宋体" w:eastAsia="方正仿宋_GBK"/>
          <w:sz w:val="24"/>
          <w:szCs w:val="24"/>
        </w:rPr>
        <w:t>一、资格审查</w:t>
      </w:r>
      <w:bookmarkEnd w:id="46"/>
      <w:bookmarkEnd w:id="4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依据政府采购相关法律法规规定，由采购人或采购代理机构对投标文件中的资格证明文件进行审查。资格审查资料表如下：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5102"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850"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709" w:type="dxa"/>
            <w:vMerge w:val="restart"/>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投标人应符合的基本资格条件</w:t>
            </w:r>
          </w:p>
        </w:tc>
        <w:tc>
          <w:tcPr>
            <w:tcW w:w="4393"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850"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709" w:type="dxa"/>
            <w:vMerge w:val="continue"/>
            <w:vAlign w:val="center"/>
          </w:tcPr>
          <w:p>
            <w:pPr>
              <w:spacing w:line="240" w:lineRule="exact"/>
              <w:rPr>
                <w:rFonts w:ascii="方正仿宋_GBK" w:hAnsi="仿宋" w:eastAsia="方正仿宋_GBK" w:cs="仿宋_GB2312"/>
                <w:sz w:val="21"/>
                <w:szCs w:val="21"/>
                <w:lang w:val="zh-CN"/>
              </w:rPr>
            </w:pPr>
          </w:p>
        </w:tc>
        <w:tc>
          <w:tcPr>
            <w:tcW w:w="4393"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850"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提供2022年度及近三个月财务状况报告（表）和其基本开户银行出具的资信证明复印件，本年度新成立或成立不满一年的组织和自然人无法提供财务状况报告（表）的，可提供银行出具的资信证明复印件。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709" w:type="dxa"/>
            <w:vMerge w:val="continue"/>
            <w:vAlign w:val="center"/>
          </w:tcPr>
          <w:p>
            <w:pPr>
              <w:spacing w:line="240" w:lineRule="exact"/>
              <w:rPr>
                <w:rFonts w:ascii="方正仿宋_GBK" w:hAnsi="仿宋" w:eastAsia="方正仿宋_GBK" w:cs="仿宋_GB2312"/>
                <w:sz w:val="21"/>
                <w:szCs w:val="21"/>
                <w:lang w:val="zh-CN"/>
              </w:rPr>
            </w:pPr>
          </w:p>
        </w:tc>
        <w:tc>
          <w:tcPr>
            <w:tcW w:w="4393"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850"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709" w:type="dxa"/>
            <w:vMerge w:val="continue"/>
            <w:vAlign w:val="center"/>
          </w:tcPr>
          <w:p>
            <w:pPr>
              <w:spacing w:line="240" w:lineRule="exact"/>
              <w:rPr>
                <w:rFonts w:ascii="方正仿宋_GBK" w:hAnsi="仿宋" w:eastAsia="方正仿宋_GBK" w:cs="仿宋_GB2312"/>
                <w:sz w:val="21"/>
                <w:szCs w:val="21"/>
                <w:lang w:val="zh-CN"/>
              </w:rPr>
            </w:pPr>
          </w:p>
        </w:tc>
        <w:tc>
          <w:tcPr>
            <w:tcW w:w="4393"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850"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3.依法免税或不需要缴纳社会保障资金的投标人，应提供相应文件证明其依法免税或不需要缴纳社会保障资金。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709" w:type="dxa"/>
            <w:vMerge w:val="continue"/>
            <w:vAlign w:val="center"/>
          </w:tcPr>
          <w:p>
            <w:pPr>
              <w:spacing w:line="240" w:lineRule="exact"/>
              <w:rPr>
                <w:rFonts w:ascii="方正仿宋_GBK" w:hAnsi="仿宋" w:eastAsia="方正仿宋_GBK" w:cs="仿宋_GB2312"/>
                <w:sz w:val="21"/>
                <w:szCs w:val="21"/>
                <w:lang w:val="zh-CN"/>
              </w:rPr>
            </w:pPr>
          </w:p>
        </w:tc>
        <w:tc>
          <w:tcPr>
            <w:tcW w:w="4393"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850"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1.投标人提供书面声明（见格式文件）；</w:t>
            </w:r>
          </w:p>
          <w:p>
            <w:pPr>
              <w:spacing w:line="240" w:lineRule="exact"/>
              <w:jc w:val="lef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709" w:type="dxa"/>
            <w:vMerge w:val="continue"/>
            <w:vAlign w:val="center"/>
          </w:tcPr>
          <w:p>
            <w:pPr>
              <w:spacing w:line="240" w:lineRule="exact"/>
              <w:rPr>
                <w:rFonts w:ascii="方正仿宋_GBK" w:hAnsi="仿宋" w:eastAsia="方正仿宋_GBK" w:cs="仿宋_GB2312"/>
                <w:sz w:val="21"/>
                <w:szCs w:val="21"/>
              </w:rPr>
            </w:pPr>
          </w:p>
        </w:tc>
        <w:tc>
          <w:tcPr>
            <w:tcW w:w="4393"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850"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5102"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850"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3</w:t>
            </w:r>
          </w:p>
        </w:tc>
        <w:tc>
          <w:tcPr>
            <w:tcW w:w="5102"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投标保证金</w:t>
            </w:r>
          </w:p>
        </w:tc>
        <w:tc>
          <w:tcPr>
            <w:tcW w:w="3850"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按照招标文件的规定提交投标保证金</w:t>
            </w:r>
          </w:p>
        </w:tc>
      </w:tr>
    </w:tbl>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\o\ac(○,1)</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投标人按“多证合一”登记制度办理营业执照的，组织机构代码证、税务登记证（副本）和社会保险登记证以投标人所提供的营业执照（副本）复印件为准。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eq \o\ac(○,2)</w:instrText>
      </w:r>
      <w:r>
        <w:rPr>
          <w:rFonts w:hint="eastAsia" w:ascii="方正仿宋_GBK" w:hAnsi="宋体" w:eastAsia="方正仿宋_GBK"/>
          <w:sz w:val="24"/>
          <w:szCs w:val="24"/>
        </w:rPr>
        <w:fldChar w:fldCharType="end"/>
      </w:r>
      <w:r>
        <w:rPr>
          <w:rFonts w:hint="eastAsia" w:ascii="方正仿宋_GBK" w:hAnsi="宋体" w:eastAsia="方正仿宋_GBK"/>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spacing w:before="0" w:after="0" w:line="400" w:lineRule="exact"/>
        <w:rPr>
          <w:rFonts w:ascii="方正仿宋_GBK" w:hAnsi="宋体" w:eastAsia="方正仿宋_GBK"/>
          <w:sz w:val="24"/>
          <w:szCs w:val="24"/>
        </w:rPr>
      </w:pPr>
      <w:bookmarkStart w:id="48" w:name="_Toc42600939"/>
      <w:bookmarkStart w:id="49" w:name="_Toc527022000"/>
      <w:r>
        <w:rPr>
          <w:rFonts w:hint="eastAsia" w:ascii="方正仿宋_GBK" w:hAnsi="宋体" w:eastAsia="方正仿宋_GBK"/>
          <w:sz w:val="24"/>
          <w:szCs w:val="24"/>
        </w:rPr>
        <w:t>二、评标方法</w:t>
      </w:r>
      <w:bookmarkEnd w:id="48"/>
      <w:bookmarkEnd w:id="4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本项目采用综合评分法进行评标。</w:t>
      </w:r>
    </w:p>
    <w:p>
      <w:pPr>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hAnsi="宋体" w:eastAsia="方正仿宋_GBK"/>
          <w:color w:val="000000" w:themeColor="text1"/>
          <w:sz w:val="24"/>
          <w:szCs w:val="24"/>
        </w:rPr>
        <w:t>0</w:t>
      </w:r>
      <w:r>
        <w:rPr>
          <w:rFonts w:hint="eastAsia" w:ascii="方正仿宋_GBK" w:hAnsi="宋体" w:eastAsia="方正仿宋_GBK"/>
          <w:color w:val="000000" w:themeColor="text1"/>
          <w:sz w:val="24"/>
          <w:szCs w:val="24"/>
        </w:rPr>
        <w:t>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（一）符合性审查</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评标委员会应当对符合资格的投标人的投标文件进行符合性审查，以确定其是否满足招标文件的实质性要求。符合性审查资料表如下：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6"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2"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2"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技术部分</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本招标文件第三篇中（※）号标注的部分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投标有效期为投标截止日期后九十天内</w:t>
            </w:r>
          </w:p>
        </w:tc>
      </w:tr>
    </w:tbl>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（三）比较与评价。按招标文件中规定的评标方法和标准，对资格审查和符合性审查合格的投标文件进行商务和技术评估。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（四）推荐中标候选人名单。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pPr>
        <w:pStyle w:val="4"/>
        <w:spacing w:before="0" w:after="0" w:line="400" w:lineRule="exact"/>
        <w:rPr>
          <w:rFonts w:ascii="方正仿宋_GBK" w:hAnsi="宋体" w:eastAsia="方正仿宋_GBK"/>
          <w:sz w:val="24"/>
          <w:szCs w:val="24"/>
        </w:rPr>
      </w:pPr>
      <w:bookmarkStart w:id="50" w:name="_Toc42600940"/>
      <w:bookmarkStart w:id="51" w:name="_Toc267320057"/>
      <w:bookmarkStart w:id="52" w:name="_Toc527022001"/>
      <w:r>
        <w:rPr>
          <w:rFonts w:hint="eastAsia" w:ascii="方正仿宋_GBK" w:hAnsi="宋体" w:eastAsia="方正仿宋_GBK"/>
          <w:sz w:val="24"/>
          <w:szCs w:val="24"/>
        </w:rPr>
        <w:t>三、评标标准</w:t>
      </w:r>
      <w:bookmarkEnd w:id="50"/>
      <w:bookmarkEnd w:id="51"/>
      <w:bookmarkEnd w:id="52"/>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（一）评审因素</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1"/>
        <w:gridCol w:w="810"/>
        <w:gridCol w:w="834"/>
        <w:gridCol w:w="44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及权重</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4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1958" w:type="dxa"/>
            <w:tcBorders>
              <w:top w:val="single" w:color="auto" w:sz="4" w:space="0"/>
              <w:left w:val="single" w:color="auto" w:sz="4" w:space="0"/>
              <w:bottom w:val="single" w:color="auto" w:sz="4" w:space="0"/>
              <w:right w:val="single" w:color="auto" w:sz="4" w:space="0"/>
            </w:tcBorders>
            <w:vAlign w:val="center"/>
          </w:tcPr>
          <w:p>
            <w:pPr>
              <w:pStyle w:val="141"/>
              <w:spacing w:before="0" w:after="0" w:line="240" w:lineRule="atLeast"/>
              <w:ind w:left="560"/>
              <w:rPr>
                <w:rFonts w:ascii="方正仿宋_GBK" w:hAnsi="宋体" w:eastAsia="方正仿宋_GBK"/>
                <w:sz w:val="21"/>
                <w:szCs w:val="21"/>
              </w:rPr>
            </w:pPr>
            <w:r>
              <w:rPr>
                <w:rFonts w:hint="eastAsia" w:ascii="方正仿宋_GBK" w:hAnsi="宋体"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投标报价4</w:t>
            </w:r>
            <w:r>
              <w:rPr>
                <w:rFonts w:ascii="方正仿宋_GBK" w:hAnsi="宋体" w:eastAsia="方正仿宋_GBK"/>
                <w:sz w:val="21"/>
                <w:szCs w:val="21"/>
              </w:rPr>
              <w:t>0</w:t>
            </w:r>
            <w:r>
              <w:rPr>
                <w:rFonts w:hint="eastAsia" w:ascii="方正仿宋_GBK" w:hAnsi="宋体" w:eastAsia="方正仿宋_GBK"/>
                <w:sz w:val="21"/>
                <w:szCs w:val="21"/>
              </w:rPr>
              <w:t>%</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4</w:t>
            </w:r>
            <w:r>
              <w:rPr>
                <w:rFonts w:ascii="方正仿宋_GBK" w:hAnsi="宋体" w:eastAsia="方正仿宋_GBK"/>
                <w:sz w:val="21"/>
                <w:szCs w:val="21"/>
              </w:rPr>
              <w:t>0</w:t>
            </w:r>
            <w:r>
              <w:rPr>
                <w:rFonts w:hint="eastAsia" w:ascii="方正仿宋_GBK" w:hAnsi="宋体" w:eastAsia="方正仿宋_GBK"/>
                <w:sz w:val="21"/>
                <w:szCs w:val="21"/>
              </w:rPr>
              <w:t>分</w:t>
            </w:r>
          </w:p>
        </w:tc>
        <w:tc>
          <w:tcPr>
            <w:tcW w:w="4460"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有效的投标报价中的最低价为评标基准价，按照下列公式计算每个投标人的投标价格得分</w:t>
            </w:r>
          </w:p>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投标报价得分＝（评标基准价/投标报价）×价格权重×100</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方正仿宋_GBK" w:hAnsi="宋体" w:eastAsia="方正仿宋_GBK"/>
                <w:b/>
                <w:sz w:val="21"/>
                <w:szCs w:val="21"/>
              </w:rPr>
            </w:pPr>
            <w:r>
              <w:rPr>
                <w:rFonts w:hint="eastAsia" w:ascii="方正仿宋_GBK" w:hAnsi="宋体" w:eastAsia="方正仿宋_GBK"/>
                <w:sz w:val="21"/>
                <w:szCs w:val="21"/>
              </w:rPr>
              <w:t>对小型和微型企业产品的价格给予6%-10%的扣除，用扣除后的价格参与评审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vMerge w:val="restart"/>
            <w:tcBorders>
              <w:top w:val="single" w:color="auto" w:sz="4" w:space="0"/>
              <w:left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sz w:val="21"/>
                <w:szCs w:val="21"/>
              </w:rPr>
              <w:t>2</w:t>
            </w:r>
          </w:p>
        </w:tc>
        <w:tc>
          <w:tcPr>
            <w:tcW w:w="1701" w:type="dxa"/>
            <w:gridSpan w:val="2"/>
            <w:vMerge w:val="restart"/>
            <w:tcBorders>
              <w:top w:val="single" w:color="auto" w:sz="4" w:space="0"/>
              <w:left w:val="single" w:color="auto" w:sz="4" w:space="0"/>
              <w:right w:val="single" w:color="auto" w:sz="4" w:space="0"/>
            </w:tcBorders>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r>
              <w:rPr>
                <w:rFonts w:ascii="方正仿宋_GBK" w:hAnsi="宋体" w:eastAsia="方正仿宋_GBK"/>
                <w:sz w:val="21"/>
                <w:szCs w:val="21"/>
              </w:rPr>
              <w:t>40</w:t>
            </w:r>
            <w:r>
              <w:rPr>
                <w:rFonts w:hint="eastAsia" w:ascii="方正仿宋_GBK" w:hAnsi="宋体" w:eastAsia="方正仿宋_GBK"/>
                <w:sz w:val="21"/>
                <w:szCs w:val="21"/>
              </w:rPr>
              <w:t>%</w:t>
            </w:r>
          </w:p>
        </w:tc>
        <w:tc>
          <w:tcPr>
            <w:tcW w:w="834" w:type="dxa"/>
            <w:vMerge w:val="restart"/>
            <w:tcBorders>
              <w:top w:val="single" w:color="auto" w:sz="4" w:space="0"/>
              <w:left w:val="single" w:color="auto" w:sz="4" w:space="0"/>
              <w:right w:val="single" w:color="auto" w:sz="4" w:space="0"/>
            </w:tcBorders>
            <w:vAlign w:val="center"/>
          </w:tcPr>
          <w:p>
            <w:pPr>
              <w:spacing w:line="240" w:lineRule="atLeast"/>
              <w:ind w:firstLine="28"/>
              <w:jc w:val="center"/>
              <w:rPr>
                <w:rFonts w:ascii="方正仿宋_GBK" w:hAnsi="宋体" w:eastAsia="方正仿宋_GBK"/>
                <w:sz w:val="21"/>
                <w:szCs w:val="21"/>
              </w:rPr>
            </w:pPr>
            <w:r>
              <w:rPr>
                <w:rFonts w:ascii="方正仿宋_GBK" w:hAnsi="宋体" w:eastAsia="方正仿宋_GBK"/>
                <w:sz w:val="21"/>
                <w:szCs w:val="21"/>
              </w:rPr>
              <w:t>40</w:t>
            </w:r>
            <w:r>
              <w:rPr>
                <w:rFonts w:hint="eastAsia" w:ascii="方正仿宋_GBK" w:hAnsi="宋体" w:eastAsia="方正仿宋_GBK"/>
                <w:sz w:val="21"/>
                <w:szCs w:val="21"/>
              </w:rPr>
              <w:t>分</w:t>
            </w:r>
          </w:p>
        </w:tc>
        <w:tc>
          <w:tcPr>
            <w:tcW w:w="4460"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A起评分：</w:t>
            </w:r>
          </w:p>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有效投标人的起评分为</w:t>
            </w:r>
            <w:r>
              <w:rPr>
                <w:rFonts w:ascii="方正仿宋_GBK" w:hAnsi="宋体" w:eastAsia="方正仿宋_GBK"/>
                <w:sz w:val="21"/>
                <w:szCs w:val="21"/>
              </w:rPr>
              <w:t>3</w:t>
            </w:r>
            <w:r>
              <w:rPr>
                <w:rFonts w:hint="eastAsia" w:ascii="方正仿宋_GBK" w:hAnsi="宋体" w:eastAsia="方正仿宋_GBK"/>
                <w:sz w:val="21"/>
                <w:szCs w:val="21"/>
              </w:rPr>
              <w:t>5分</w:t>
            </w:r>
          </w:p>
        </w:tc>
        <w:tc>
          <w:tcPr>
            <w:tcW w:w="1958" w:type="dxa"/>
            <w:tcBorders>
              <w:top w:val="single" w:color="auto" w:sz="4" w:space="0"/>
              <w:left w:val="single" w:color="auto" w:sz="4" w:space="0"/>
              <w:bottom w:val="single" w:color="auto" w:sz="4" w:space="0"/>
              <w:right w:val="single" w:color="auto" w:sz="4" w:space="0"/>
            </w:tcBorders>
            <w:vAlign w:val="center"/>
          </w:tcPr>
          <w:p>
            <w:pPr>
              <w:pStyle w:val="141"/>
              <w:spacing w:line="240" w:lineRule="auto"/>
              <w:jc w:val="left"/>
              <w:rPr>
                <w:rFonts w:ascii="方正仿宋_GBK" w:hAnsi="宋体" w:eastAsia="方正仿宋_GBK"/>
                <w:sz w:val="21"/>
                <w:szCs w:val="21"/>
              </w:rPr>
            </w:pPr>
            <w:r>
              <w:rPr>
                <w:rFonts w:hint="eastAsia" w:ascii="方正仿宋_GBK" w:hAnsi="宋体" w:eastAsia="方正仿宋_GBK"/>
                <w:b w:val="0"/>
                <w:bCs/>
                <w:sz w:val="21"/>
                <w:szCs w:val="21"/>
              </w:rPr>
              <w:t>核心产品为“智能网联汽车”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75" w:type="dxa"/>
            <w:vMerge w:val="continue"/>
            <w:tcBorders>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p>
        </w:tc>
        <w:tc>
          <w:tcPr>
            <w:tcW w:w="1701" w:type="dxa"/>
            <w:gridSpan w:val="2"/>
            <w:vMerge w:val="continue"/>
            <w:tcBorders>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p>
        </w:tc>
        <w:tc>
          <w:tcPr>
            <w:tcW w:w="834" w:type="dxa"/>
            <w:vMerge w:val="continue"/>
            <w:tcBorders>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sz w:val="21"/>
                <w:szCs w:val="21"/>
              </w:rPr>
            </w:pPr>
          </w:p>
        </w:tc>
        <w:tc>
          <w:tcPr>
            <w:tcW w:w="4460" w:type="dxa"/>
            <w:tcBorders>
              <w:top w:val="single" w:color="auto" w:sz="4" w:space="0"/>
              <w:left w:val="single" w:color="auto" w:sz="4" w:space="0"/>
              <w:right w:val="single" w:color="auto" w:sz="4" w:space="0"/>
            </w:tcBorders>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B扣分条款：</w:t>
            </w:r>
          </w:p>
          <w:p>
            <w:pPr>
              <w:numPr>
                <w:ilvl w:val="0"/>
                <w:numId w:val="13"/>
              </w:num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实质性要求【本招标文件项目技术要求中带（※）号标注的部分】有一条不满足，技术部分不得分。</w:t>
            </w:r>
          </w:p>
          <w:p>
            <w:pPr>
              <w:numPr>
                <w:ilvl w:val="0"/>
                <w:numId w:val="13"/>
              </w:num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重要技术参数【本招标文件项目技术要求中带（</w:t>
            </w:r>
            <w:r>
              <w:rPr>
                <w:rFonts w:hint="eastAsia" w:ascii="宋体" w:hAnsi="宋体" w:cs="宋体"/>
                <w:kern w:val="0"/>
                <w:sz w:val="22"/>
                <w:szCs w:val="22"/>
              </w:rPr>
              <w:t>▲</w:t>
            </w:r>
            <w:r>
              <w:rPr>
                <w:rFonts w:hint="eastAsia" w:ascii="方正仿宋_GBK" w:hAnsi="宋体" w:eastAsia="方正仿宋_GBK"/>
                <w:sz w:val="21"/>
                <w:szCs w:val="21"/>
              </w:rPr>
              <w:t>）号标注的部分】每负偏离一条扣5分，</w:t>
            </w:r>
            <w:r>
              <w:rPr>
                <w:rFonts w:ascii="方正仿宋_GBK" w:hAnsi="宋体" w:eastAsia="方正仿宋_GBK"/>
                <w:sz w:val="21"/>
                <w:szCs w:val="21"/>
              </w:rPr>
              <w:t>5</w:t>
            </w:r>
            <w:r>
              <w:rPr>
                <w:rFonts w:hint="eastAsia" w:ascii="方正仿宋_GBK" w:hAnsi="宋体" w:eastAsia="方正仿宋_GBK"/>
                <w:sz w:val="21"/>
                <w:szCs w:val="21"/>
              </w:rPr>
              <w:t>条不满足，技术部分不得分。</w:t>
            </w:r>
          </w:p>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3、一般性技术参数与技术要求达不到招标文件要求的,每负偏离一条扣3分，</w:t>
            </w:r>
            <w:r>
              <w:rPr>
                <w:rFonts w:ascii="方正仿宋_GBK" w:hAnsi="宋体" w:eastAsia="方正仿宋_GBK"/>
                <w:sz w:val="21"/>
                <w:szCs w:val="21"/>
              </w:rPr>
              <w:t>6</w:t>
            </w:r>
            <w:r>
              <w:rPr>
                <w:rFonts w:hint="eastAsia" w:ascii="方正仿宋_GBK" w:hAnsi="宋体" w:eastAsia="方正仿宋_GBK"/>
                <w:sz w:val="21"/>
                <w:szCs w:val="21"/>
              </w:rPr>
              <w:t>条不满足，技术部分不得分。</w:t>
            </w:r>
          </w:p>
        </w:tc>
        <w:tc>
          <w:tcPr>
            <w:tcW w:w="1958" w:type="dxa"/>
            <w:tcBorders>
              <w:top w:val="single" w:color="auto" w:sz="4" w:space="0"/>
              <w:left w:val="single" w:color="auto" w:sz="4" w:space="0"/>
              <w:right w:val="single" w:color="auto" w:sz="4" w:space="0"/>
            </w:tcBorders>
            <w:vAlign w:val="center"/>
          </w:tcPr>
          <w:p>
            <w:pPr>
              <w:pStyle w:val="141"/>
              <w:jc w:val="left"/>
              <w:rPr>
                <w:rFonts w:ascii="方正仿宋_GBK" w:hAnsi="宋体" w:eastAsia="方正仿宋_GBK"/>
                <w:sz w:val="21"/>
                <w:szCs w:val="21"/>
              </w:rPr>
            </w:pPr>
            <w:r>
              <w:rPr>
                <w:rFonts w:hint="eastAsia" w:ascii="方正仿宋_GBK" w:hAnsi="宋体" w:eastAsia="方正仿宋_GBK"/>
                <w:b w:val="0"/>
                <w:bCs/>
                <w:sz w:val="21"/>
                <w:szCs w:val="21"/>
              </w:rPr>
              <w:t>带“</w:t>
            </w:r>
            <w:r>
              <w:rPr>
                <w:rFonts w:hint="eastAsia" w:ascii="宋体" w:hAnsi="宋体" w:cs="宋体"/>
                <w:kern w:val="0"/>
                <w:sz w:val="22"/>
                <w:szCs w:val="22"/>
              </w:rPr>
              <w:t>▲”</w:t>
            </w:r>
            <w:r>
              <w:rPr>
                <w:rFonts w:hint="eastAsia" w:ascii="方正仿宋_GBK" w:hAnsi="宋体" w:eastAsia="方正仿宋_GBK"/>
                <w:b w:val="0"/>
                <w:bCs/>
                <w:sz w:val="21"/>
                <w:szCs w:val="21"/>
              </w:rPr>
              <w:t>号标注的为本次重要参数，投标人需提供证明材料，证明材料可为所投产品画册、产品使用手册、技术文档、课程资料。未提供或者提供的证明材料与实际不符，按照负偏离条款扣分</w:t>
            </w:r>
            <w:r>
              <w:rPr>
                <w:rFonts w:hint="eastAsia" w:ascii="方正仿宋_GBK" w:hAnsi="宋体"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628" w:type="dxa"/>
            <w:gridSpan w:val="6"/>
            <w:tcBorders>
              <w:top w:val="single" w:color="auto" w:sz="4" w:space="0"/>
              <w:left w:val="single" w:color="auto" w:sz="4" w:space="0"/>
              <w:right w:val="single" w:color="auto" w:sz="4" w:space="0"/>
            </w:tcBorders>
            <w:shd w:val="clear" w:color="auto" w:fill="FFFFFF" w:themeFill="background1"/>
            <w:vAlign w:val="center"/>
          </w:tcPr>
          <w:p>
            <w:pPr>
              <w:pStyle w:val="141"/>
              <w:spacing w:line="240" w:lineRule="auto"/>
              <w:jc w:val="left"/>
              <w:rPr>
                <w:rFonts w:ascii="方正仿宋_GBK" w:hAnsi="宋体" w:eastAsia="方正仿宋_GBK"/>
                <w:sz w:val="21"/>
                <w:szCs w:val="21"/>
              </w:rPr>
            </w:pPr>
            <w:r>
              <w:rPr>
                <w:rFonts w:hint="eastAsia" w:ascii="方正仿宋_GBK" w:hAnsi="宋体" w:eastAsia="方正仿宋_GBK"/>
                <w:b w:val="0"/>
                <w:bCs/>
                <w:sz w:val="21"/>
                <w:szCs w:val="21"/>
              </w:rPr>
              <w:t>投标人的应答应满足招标文件“第三篇 项目商务要求”，交货期、质量保证期不满足招标文件要求的为无效投标，其它商务要求有一条不满足的，商务部分得分为0分，不再进入商务部分的评审。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891"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部分20%</w:t>
            </w:r>
          </w:p>
        </w:tc>
        <w:tc>
          <w:tcPr>
            <w:tcW w:w="810"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售后</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能力</w:t>
            </w:r>
            <w:r>
              <w:rPr>
                <w:rFonts w:hint="eastAsia" w:ascii="方正仿宋_GBK" w:hAnsi="宋体" w:eastAsia="方正仿宋_GBK"/>
                <w:sz w:val="20"/>
              </w:rPr>
              <w:t>（10%）</w:t>
            </w:r>
          </w:p>
        </w:tc>
        <w:tc>
          <w:tcPr>
            <w:tcW w:w="834" w:type="dxa"/>
            <w:tcBorders>
              <w:top w:val="single" w:color="auto" w:sz="4" w:space="0"/>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460" w:type="dxa"/>
            <w:tcBorders>
              <w:top w:val="single" w:color="auto" w:sz="4" w:space="0"/>
              <w:left w:val="single" w:color="auto" w:sz="4" w:space="0"/>
              <w:right w:val="single" w:color="auto" w:sz="4" w:space="0"/>
            </w:tcBorders>
            <w:shd w:val="clear" w:color="auto" w:fill="FFFFFF" w:themeFill="background1"/>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质保期在满足招标文件要求的前提下，每增加一年加 1 分，最多可加 2 分。</w:t>
            </w:r>
          </w:p>
        </w:tc>
        <w:tc>
          <w:tcPr>
            <w:tcW w:w="1958" w:type="dxa"/>
            <w:tcBorders>
              <w:top w:val="single" w:color="auto" w:sz="4" w:space="0"/>
              <w:left w:val="single" w:color="auto" w:sz="4" w:space="0"/>
              <w:right w:val="single" w:color="auto" w:sz="4" w:space="0"/>
            </w:tcBorders>
            <w:shd w:val="clear" w:color="auto" w:fill="FFFFFF" w:themeFill="background1"/>
            <w:vAlign w:val="center"/>
          </w:tcPr>
          <w:p>
            <w:pPr>
              <w:pStyle w:val="141"/>
              <w:ind w:left="56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75"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91"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10"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2分</w:t>
            </w:r>
          </w:p>
        </w:tc>
        <w:tc>
          <w:tcPr>
            <w:tcW w:w="44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根据售后服务机构情况、人员配置齐全程度、售后方案、响应时间等评2分；</w:t>
            </w:r>
          </w:p>
        </w:tc>
        <w:tc>
          <w:tcPr>
            <w:tcW w:w="1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41"/>
              <w:spacing w:line="240" w:lineRule="auto"/>
              <w:jc w:val="both"/>
              <w:rPr>
                <w:rFonts w:ascii="方正仿宋_GBK" w:hAnsi="宋体" w:eastAsia="方正仿宋_GBK"/>
                <w:b w:val="0"/>
                <w:sz w:val="21"/>
                <w:szCs w:val="21"/>
              </w:rPr>
            </w:pPr>
            <w:r>
              <w:rPr>
                <w:rFonts w:hint="eastAsia" w:ascii="方正仿宋_GBK" w:hAnsi="宋体" w:eastAsia="方正仿宋_GBK"/>
                <w:b w:val="0"/>
                <w:sz w:val="21"/>
                <w:szCs w:val="21"/>
              </w:rPr>
              <w:t>查看售后方案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75"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91"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10"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4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提供满足招标文件技术要求的以下重要产品原厂商售后服务承诺书：智能网联汽车、智慧沙盘、滑板底盘自动驾驶开发套件。提供以上一项产品的原厂商售后服务承诺书得1分，最高得5分。</w:t>
            </w:r>
          </w:p>
        </w:tc>
        <w:tc>
          <w:tcPr>
            <w:tcW w:w="1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41"/>
              <w:spacing w:line="240" w:lineRule="auto"/>
              <w:ind w:left="560"/>
              <w:jc w:val="both"/>
              <w:rPr>
                <w:rFonts w:ascii="方正仿宋_GBK" w:hAnsi="宋体" w:eastAsia="方正仿宋_GBK"/>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91"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10"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1分</w:t>
            </w:r>
          </w:p>
        </w:tc>
        <w:tc>
          <w:tcPr>
            <w:tcW w:w="44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根据培训方案中承诺的培训内容、培训课时、培训地点、培训人数、师资力量以及是否免费等进行评分，共1分。</w:t>
            </w:r>
          </w:p>
        </w:tc>
        <w:tc>
          <w:tcPr>
            <w:tcW w:w="1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41"/>
              <w:spacing w:line="240" w:lineRule="auto"/>
              <w:jc w:val="both"/>
              <w:rPr>
                <w:rFonts w:ascii="方正仿宋_GBK" w:hAnsi="宋体" w:eastAsia="方正仿宋_GBK"/>
                <w:b w:val="0"/>
                <w:sz w:val="21"/>
                <w:szCs w:val="21"/>
              </w:rPr>
            </w:pPr>
            <w:r>
              <w:rPr>
                <w:rFonts w:hint="eastAsia" w:ascii="方正仿宋_GBK" w:hAnsi="宋体" w:eastAsia="方正仿宋_GBK"/>
                <w:b w:val="0"/>
                <w:sz w:val="21"/>
                <w:szCs w:val="21"/>
              </w:rPr>
              <w:t>查看培训方案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91"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10" w:type="dxa"/>
            <w:vMerge w:val="restart"/>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企业</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信誉</w:t>
            </w:r>
            <w:r>
              <w:rPr>
                <w:rFonts w:hint="eastAsia" w:ascii="方正仿宋_GBK" w:hAnsi="宋体" w:eastAsia="方正仿宋_GBK"/>
                <w:sz w:val="20"/>
              </w:rPr>
              <w:t>（10%）</w:t>
            </w:r>
          </w:p>
        </w:tc>
        <w:tc>
          <w:tcPr>
            <w:tcW w:w="834"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4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投标企业具</w:t>
            </w:r>
            <w:r>
              <w:rPr>
                <w:rFonts w:ascii="方正仿宋_GBK" w:hAnsi="宋体" w:eastAsia="方正仿宋_GBK"/>
                <w:sz w:val="21"/>
                <w:szCs w:val="21"/>
              </w:rPr>
              <w:t>有</w:t>
            </w:r>
            <w:r>
              <w:rPr>
                <w:rFonts w:hint="eastAsia" w:ascii="方正仿宋_GBK" w:hAnsi="宋体" w:eastAsia="方正仿宋_GBK"/>
                <w:sz w:val="21"/>
                <w:szCs w:val="21"/>
              </w:rPr>
              <w:t>有</w:t>
            </w:r>
            <w:r>
              <w:rPr>
                <w:rFonts w:ascii="方正仿宋_GBK" w:hAnsi="宋体" w:eastAsia="方正仿宋_GBK"/>
                <w:sz w:val="21"/>
                <w:szCs w:val="21"/>
              </w:rPr>
              <w:t>效期内</w:t>
            </w:r>
            <w:r>
              <w:rPr>
                <w:rFonts w:hint="eastAsia" w:ascii="方正仿宋_GBK" w:hAnsi="宋体" w:eastAsia="方正仿宋_GBK"/>
                <w:sz w:val="21"/>
                <w:szCs w:val="21"/>
              </w:rPr>
              <w:t>的高新技术企业证书和“智能网联汽车”相关软件著作权证书的每提供一个计1分，最多计</w:t>
            </w:r>
            <w:r>
              <w:rPr>
                <w:rFonts w:ascii="方正仿宋_GBK" w:hAnsi="宋体" w:eastAsia="方正仿宋_GBK"/>
                <w:sz w:val="21"/>
                <w:szCs w:val="21"/>
              </w:rPr>
              <w:t>2</w:t>
            </w:r>
            <w:r>
              <w:rPr>
                <w:rFonts w:hint="eastAsia" w:ascii="方正仿宋_GBK" w:hAnsi="宋体" w:eastAsia="方正仿宋_GBK"/>
                <w:sz w:val="21"/>
                <w:szCs w:val="21"/>
              </w:rPr>
              <w:t>分。</w:t>
            </w:r>
          </w:p>
        </w:tc>
        <w:tc>
          <w:tcPr>
            <w:tcW w:w="1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41"/>
              <w:spacing w:line="240" w:lineRule="auto"/>
              <w:jc w:val="both"/>
              <w:rPr>
                <w:rFonts w:ascii="方正仿宋_GBK" w:hAnsi="宋体" w:eastAsia="方正仿宋_GBK"/>
                <w:b w:val="0"/>
                <w:sz w:val="21"/>
                <w:szCs w:val="21"/>
              </w:rPr>
            </w:pPr>
            <w:r>
              <w:rPr>
                <w:rFonts w:hint="eastAsia" w:ascii="方正仿宋_GBK" w:hAnsi="宋体" w:eastAsia="方正仿宋_GBK"/>
                <w:b w:val="0"/>
                <w:bCs/>
                <w:sz w:val="21"/>
                <w:szCs w:val="21"/>
              </w:rPr>
              <w:t>投标文件中须提供证明文件复印件或扫描件并加盖所投设备厂家公章，不提供或提供不符合要求不得分。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91"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10"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834" w:type="dxa"/>
            <w:vMerge w:val="continue"/>
            <w:tcBorders>
              <w:left w:val="single" w:color="auto" w:sz="4" w:space="0"/>
              <w:right w:val="single" w:color="auto" w:sz="4" w:space="0"/>
            </w:tcBorders>
            <w:shd w:val="clear" w:color="auto" w:fill="FFFFFF" w:themeFill="background1"/>
            <w:vAlign w:val="center"/>
          </w:tcPr>
          <w:p>
            <w:pPr>
              <w:spacing w:line="240" w:lineRule="atLeast"/>
              <w:ind w:firstLine="28"/>
              <w:jc w:val="center"/>
              <w:rPr>
                <w:rFonts w:ascii="方正仿宋_GBK" w:hAnsi="宋体" w:eastAsia="方正仿宋_GBK"/>
                <w:sz w:val="21"/>
                <w:szCs w:val="21"/>
              </w:rPr>
            </w:pPr>
          </w:p>
        </w:tc>
        <w:tc>
          <w:tcPr>
            <w:tcW w:w="4460" w:type="dxa"/>
            <w:tcBorders>
              <w:top w:val="single" w:color="auto" w:sz="4" w:space="0"/>
              <w:left w:val="single" w:color="auto" w:sz="4" w:space="0"/>
              <w:right w:val="single" w:color="auto" w:sz="4" w:space="0"/>
            </w:tcBorders>
            <w:shd w:val="clear" w:color="auto" w:fill="FFFFFF" w:themeFill="background1"/>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投标人自2019年以来（以合同签订时间为准）有类似项目业绩包括智能网联汽车、智慧沙盘、滑板底盘自动驾驶开发套件，每提供一个计1分，最多计8分。</w:t>
            </w:r>
          </w:p>
        </w:tc>
        <w:tc>
          <w:tcPr>
            <w:tcW w:w="1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41"/>
              <w:spacing w:line="240" w:lineRule="auto"/>
              <w:jc w:val="both"/>
              <w:rPr>
                <w:rFonts w:ascii="方正仿宋_GBK" w:hAnsi="宋体" w:eastAsia="方正仿宋_GBK"/>
                <w:b w:val="0"/>
                <w:bCs/>
                <w:sz w:val="21"/>
                <w:szCs w:val="21"/>
              </w:rPr>
            </w:pPr>
            <w:r>
              <w:rPr>
                <w:rFonts w:hint="eastAsia" w:ascii="方正仿宋_GBK" w:hAnsi="宋体" w:eastAsia="方正仿宋_GBK"/>
                <w:b w:val="0"/>
                <w:bCs/>
                <w:sz w:val="21"/>
                <w:szCs w:val="21"/>
              </w:rPr>
              <w:t>提供中标通知书或合同复印件加盖投标单位公章，未按要求提供不得分。</w:t>
            </w:r>
          </w:p>
        </w:tc>
      </w:tr>
    </w:tbl>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（二）投标报价政策性扣减</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1.对小型企业给予6%的扣除，微型企业给予8%的扣除（注册资金十五万及以下的微型企业给予10%的扣除），以扣除后的报价参与评审。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2.监狱企业、残疾人福利性单位属于微型企业的，应提供企业所在地的县级以上中小企业主管部门本年度出具的证明文件复印件和小微企业声明函（详见第七篇 四、其他“小微企业声明函”）。未提供以上资料的监狱企业、残疾人福利性单位视同小型企业。</w:t>
      </w:r>
    </w:p>
    <w:p>
      <w:pPr>
        <w:pStyle w:val="4"/>
        <w:spacing w:before="0" w:after="0" w:line="400" w:lineRule="exact"/>
        <w:rPr>
          <w:rFonts w:ascii="方正仿宋_GBK" w:hAnsi="宋体" w:eastAsia="方正仿宋_GBK"/>
          <w:sz w:val="24"/>
          <w:szCs w:val="24"/>
        </w:rPr>
      </w:pPr>
      <w:bookmarkStart w:id="53" w:name="_Toc42600941"/>
      <w:bookmarkStart w:id="54" w:name="_Toc527022002"/>
      <w:r>
        <w:rPr>
          <w:rFonts w:hint="eastAsia" w:ascii="方正仿宋_GBK" w:hAnsi="宋体" w:eastAsia="方正仿宋_GBK"/>
          <w:sz w:val="24"/>
          <w:szCs w:val="24"/>
        </w:rPr>
        <w:t>四、无效投标条款</w:t>
      </w:r>
      <w:bookmarkEnd w:id="53"/>
      <w:bookmarkEnd w:id="5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（七）投标人组成联合体投标的；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pPr>
        <w:pStyle w:val="4"/>
        <w:spacing w:before="0" w:after="0" w:line="400" w:lineRule="exact"/>
        <w:rPr>
          <w:rFonts w:ascii="方正仿宋_GBK" w:hAnsi="宋体" w:eastAsia="方正仿宋_GBK"/>
          <w:sz w:val="24"/>
          <w:szCs w:val="24"/>
        </w:rPr>
      </w:pPr>
      <w:bookmarkStart w:id="55" w:name="_Toc42600942"/>
      <w:bookmarkStart w:id="56" w:name="_Toc527022003"/>
      <w:r>
        <w:rPr>
          <w:rFonts w:hint="eastAsia" w:ascii="方正仿宋_GBK" w:hAnsi="宋体" w:eastAsia="方正仿宋_GBK"/>
          <w:sz w:val="24"/>
          <w:szCs w:val="24"/>
        </w:rPr>
        <w:t>五、废标条款</w:t>
      </w:r>
      <w:bookmarkEnd w:id="55"/>
      <w:bookmarkEnd w:id="56"/>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pPr>
        <w:spacing w:line="4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57" w:name="_Toc42600943"/>
      <w:r>
        <w:rPr>
          <w:rFonts w:hint="eastAsia" w:ascii="方正小标宋_GBK" w:hAnsi="宋体" w:eastAsia="方正小标宋_GBK"/>
          <w:b w:val="0"/>
          <w:sz w:val="36"/>
          <w:szCs w:val="30"/>
        </w:rPr>
        <w:t>第五篇  供应商须知</w:t>
      </w:r>
      <w:bookmarkEnd w:id="57"/>
    </w:p>
    <w:p>
      <w:pPr>
        <w:spacing w:line="480" w:lineRule="exact"/>
        <w:ind w:firstLine="480" w:firstLineChars="200"/>
        <w:rPr>
          <w:rFonts w:ascii="方正仿宋_GBK" w:hAnsi="宋体" w:eastAsia="方正仿宋_GBK"/>
          <w:sz w:val="24"/>
          <w:szCs w:val="24"/>
        </w:rPr>
      </w:pPr>
    </w:p>
    <w:p>
      <w:pPr>
        <w:pStyle w:val="4"/>
        <w:spacing w:before="0" w:after="0" w:line="400" w:lineRule="exact"/>
        <w:rPr>
          <w:rFonts w:ascii="方正仿宋_GBK" w:hAnsi="宋体" w:eastAsia="方正仿宋_GBK"/>
          <w:sz w:val="24"/>
          <w:szCs w:val="24"/>
        </w:rPr>
      </w:pPr>
      <w:bookmarkStart w:id="58" w:name="_Toc527022005"/>
      <w:bookmarkStart w:id="59" w:name="_Toc42600944"/>
      <w:r>
        <w:rPr>
          <w:rFonts w:hint="eastAsia" w:ascii="方正仿宋_GBK" w:hAnsi="宋体" w:eastAsia="方正仿宋_GBK"/>
          <w:sz w:val="24"/>
          <w:szCs w:val="24"/>
        </w:rPr>
        <w:t>一、投标人</w:t>
      </w:r>
      <w:bookmarkEnd w:id="58"/>
      <w:bookmarkEnd w:id="5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投标人是指响应招标、参加投标竞争的法人、其他组织或者自然人。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（二）合格投标人条件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合格投标人应完全符合招标文件第一篇中规定的投标人资格条件，并对招标文件作出实质性响应。</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（三）投标人的风险</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投标人没有按照招标文件要求提供全部资料，或者投标人没有对招标文件在各方面作出实质性响应，可能导致投标被拒绝或评定为无效投标。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（四）法律责任</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投标人违反《中华人民共和国政府采购法》、《中华人民共和国政府采购实施条例》等相关规定，将按规定追究投标人法律责任。</w:t>
      </w:r>
    </w:p>
    <w:p>
      <w:pPr>
        <w:pStyle w:val="4"/>
        <w:spacing w:before="0" w:after="0" w:line="400" w:lineRule="exact"/>
        <w:rPr>
          <w:rFonts w:ascii="方正仿宋_GBK" w:hAnsi="宋体" w:eastAsia="方正仿宋_GBK"/>
          <w:sz w:val="24"/>
          <w:szCs w:val="24"/>
        </w:rPr>
      </w:pPr>
      <w:bookmarkStart w:id="60" w:name="_Toc527022006"/>
      <w:bookmarkStart w:id="61" w:name="_Toc42600945"/>
      <w:r>
        <w:rPr>
          <w:rFonts w:hint="eastAsia" w:ascii="方正仿宋_GBK" w:hAnsi="宋体" w:eastAsia="方正仿宋_GBK"/>
          <w:sz w:val="24"/>
          <w:szCs w:val="24"/>
        </w:rPr>
        <w:t>二、招标文件</w:t>
      </w:r>
      <w:bookmarkEnd w:id="60"/>
      <w:bookmarkEnd w:id="61"/>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招标文件是投标人编制投标文件的依据，是评标委员会评判依据和标准。招标文件也是采购人与中标人签订合同的基础。</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（一）招标文件由投标邀请书；项目技术规格、数量及质量要求；商务条款；投标人须知；评标方法、评标标准、无效投标条款和废标条款；合同主要条款、合同范本；投标文件格式等七部分组成。</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（二）采购代理机构对招标文件所作的一切有效的书面通知、修改及补充，都是招标文件不可分割的部分。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招标文件、补遗文件（如果有）一律在重庆海联职业技术学院官网（http://www.hailian.cn）上发布，请各投标人注意下载或到采购代理机构处领取；无论投标人下载或领取与否，均视同投标人已知晓本项目招标文件、补遗文件的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（四）采购代理机构对已发出的招标文件需要进行澄清或修改的，应以书面形式或公告形式通知所有招标文件收受人。该澄清或者修改的内容为招标文件的组成部分。</w:t>
      </w:r>
    </w:p>
    <w:p>
      <w:pPr>
        <w:pStyle w:val="4"/>
        <w:spacing w:before="0" w:after="0" w:line="400" w:lineRule="exact"/>
        <w:rPr>
          <w:rFonts w:ascii="方正仿宋_GBK" w:hAnsi="宋体" w:eastAsia="方正仿宋_GBK"/>
          <w:sz w:val="24"/>
          <w:szCs w:val="24"/>
        </w:rPr>
      </w:pPr>
      <w:bookmarkStart w:id="62" w:name="_Toc527022007"/>
      <w:bookmarkStart w:id="63" w:name="_Toc42600946"/>
      <w:r>
        <w:rPr>
          <w:rFonts w:hint="eastAsia" w:ascii="方正仿宋_GBK" w:hAnsi="宋体" w:eastAsia="方正仿宋_GBK"/>
          <w:sz w:val="24"/>
          <w:szCs w:val="24"/>
        </w:rPr>
        <w:t>三、投标文件</w:t>
      </w:r>
      <w:bookmarkEnd w:id="62"/>
      <w:bookmarkEnd w:id="6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投标人应当按照招标文件的要求编制投标文件，并对招标文件提出的要求和条件作出实质性响应，投标文件原则上采用软面订本，同时应编制完整的页码、目录。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（一）投标文件组成</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（二）联合投标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1.两个以上投标人可以组成一个投标联合体，以一个投标人的身份投标。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4.以联合体形式参加政府采购活动的，联合体各方不得再单独参加或者与其他投标人另外组成联合体参加同一合同项下的政府采购活动。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5.联合体投标业绩计算，按照共同投标协议分工认定。</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7.以联合体投标的，共同投标协议中应确定主办方（主体），代表联合体进行投标和澄清。法定代表人授权委托书由联合体主办方（主体）出具。联合体各方均应满足投标人资格要求（详见“第一篇”）。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（三）投标有效期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投标有效期为投标截止日期后九十天内。</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（四）投标保证金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1.投标人应在投标截止时间前，按招标文件第一篇规定缴纳投标保证金。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2.投标保证金为投标的有效约束条件。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3.投标保证金的有效期限在投标有效期过后三十天内继续有效。</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4.投标保证金币种应与投标报价币种相同。</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5.采购代理机构在《中标通知书》发出后五个工作日内退还未中标人的投标保证金；在采购合同签订后五个工作日退还中标人的投标保证金。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6.投标人有下列情形之一的，采购人或者采购代理机构可以不退还投标保证金：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6.1投标人在投标有效期内撤回投标文件的；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6.2投标人未按规定提交履约保证金的；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6.3投标人在投标过程中弄虚作假，提供虚假材料的；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6.4中标人无正当理由不与采购人签订合同的；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6.5中标人将中标项目转让给他人或者在投标文件中未说明且未经采购人同意，将中标项目分包给他人的；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6.6中标人拒绝履行合同义务的；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6.7其他严重扰乱招投标程序的。</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（五）投标文件的份数和签署</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1.投标文件一式三份，其中正本一份，副本二份。每套纸质投标文件须在封面清楚地标明“正本”或“副本”，副本应为正本的完整复印件，副本与正本不一致时以正本为准。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2.在投标文件正本中，招标文件第七篇投标文件格式中规定签字、盖章的地方必须按其规定签字、盖章。</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3.若投标人对投标文件的错处作必要修改，则应在修改处加盖投标人公章或由法定代表人或法定代表人授权代表签字确认。</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4.电报、电话、传真形式的投标文件概不接受。</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1.投标人应严格按照“投标文件格式”中“开标一览表”和“分项报价明细表”的格式填写报价。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2.投标人的报价为一次性报价，即在投标有效期内投标价格固定不变。</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3.本项目只接受一个投标报价，有选择的或有条件的报价将不予接受。</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（七）修正错误</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若投标文件出现计算或表达上的错误，修正错误的原则如下：</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1.投标文件中开标一览表（报价表）内容与投标文件中相应内容不一致的，以开标一览表（报价表）为准；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2.大写金额和小写金额不一致的，以大写金额为准；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3.单价金额小数点或者百分比有明显错位的，以开标一览表的总价为准，并修改单价；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4.总价金额与按单价汇总金额不一致的，以单价金额计算结果为准。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（八）投标文件的递交</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1.投标文件的密封与标记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投标文件的正本、副本均应密封送达投标地点，应在封套上注明项目名称、投标人名称。若正本、副本分别进行密封的，还应在封套上注明“正本”、“副本”、“电子文档”字样。</w:t>
      </w:r>
    </w:p>
    <w:p>
      <w:pPr>
        <w:spacing w:line="48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2.本项目不接受通过邮</w:t>
      </w:r>
      <w:r>
        <w:rPr>
          <w:rFonts w:hint="eastAsia" w:ascii="宋体" w:hAnsi="宋体" w:cs="宋体"/>
          <w:b/>
          <w:sz w:val="24"/>
          <w:szCs w:val="24"/>
        </w:rPr>
        <w:t>寄</w:t>
      </w:r>
      <w:r>
        <w:rPr>
          <w:rFonts w:hint="eastAsia" w:ascii="方正仿宋_GBK" w:hAnsi="宋体" w:eastAsia="方正仿宋_GBK"/>
          <w:b/>
          <w:sz w:val="24"/>
          <w:szCs w:val="24"/>
        </w:rPr>
        <w:t>方式递交投标文件。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3.如果未按上述规定进行密封和标记，采购代理机构对投标文件误投、丢失或提前拆封不负责任。</w:t>
      </w:r>
    </w:p>
    <w:p>
      <w:pPr>
        <w:pStyle w:val="4"/>
        <w:spacing w:before="0" w:after="0" w:line="400" w:lineRule="exact"/>
        <w:rPr>
          <w:rFonts w:ascii="方正仿宋_GBK" w:hAnsi="宋体" w:eastAsia="方正仿宋_GBK"/>
          <w:sz w:val="24"/>
          <w:szCs w:val="24"/>
        </w:rPr>
      </w:pPr>
      <w:bookmarkStart w:id="64" w:name="_Toc42600947"/>
      <w:bookmarkStart w:id="65" w:name="_Toc527022008"/>
      <w:r>
        <w:rPr>
          <w:rFonts w:hint="eastAsia" w:ascii="方正仿宋_GBK" w:hAnsi="宋体" w:eastAsia="方正仿宋_GBK"/>
          <w:sz w:val="24"/>
          <w:szCs w:val="24"/>
        </w:rPr>
        <w:t>四、开标</w:t>
      </w:r>
      <w:bookmarkEnd w:id="64"/>
      <w:bookmarkEnd w:id="6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（一）开标应当在招标文件中“投标邀请书”确定的时间和地点公开进行。</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（二）采购代理机构可视采购具体情况，延长投标截止时间和开标时间，并将变更时间书面通知所有招标文件收受人。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（三）开标由采购人或采购代理机构主持，邀请投标人和有关监督部门代表参加,有关监督部门可视情况派员现场监督。</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（五）未宣读的投标价格、价格折扣和招标文件允许提供的备选投标方案等实质性内容等，评标时不予承认。</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（六）开标过程应由采购人或采购代理机构或重庆市公共资源交易中心指定专人负责记录，并存档备查。</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（七）投标人未参加开标的，视同认可开标结果。</w:t>
      </w:r>
    </w:p>
    <w:p>
      <w:pPr>
        <w:pStyle w:val="4"/>
        <w:spacing w:before="0" w:after="0" w:line="400" w:lineRule="exact"/>
        <w:rPr>
          <w:rFonts w:ascii="方正仿宋_GBK" w:hAnsi="宋体" w:eastAsia="方正仿宋_GBK"/>
          <w:sz w:val="24"/>
          <w:szCs w:val="24"/>
        </w:rPr>
      </w:pPr>
      <w:bookmarkStart w:id="66" w:name="_Toc527022009"/>
      <w:bookmarkStart w:id="67" w:name="_Toc42600948"/>
      <w:r>
        <w:rPr>
          <w:rFonts w:hint="eastAsia" w:ascii="方正仿宋_GBK" w:hAnsi="宋体" w:eastAsia="方正仿宋_GBK"/>
          <w:sz w:val="24"/>
          <w:szCs w:val="24"/>
        </w:rPr>
        <w:t>五、评标</w:t>
      </w:r>
      <w:bookmarkEnd w:id="66"/>
      <w:bookmarkEnd w:id="6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见第四篇“评标”内容。</w:t>
      </w:r>
    </w:p>
    <w:p>
      <w:pPr>
        <w:pStyle w:val="4"/>
        <w:spacing w:before="0" w:after="0" w:line="400" w:lineRule="exact"/>
        <w:rPr>
          <w:rFonts w:ascii="方正仿宋_GBK" w:hAnsi="宋体" w:eastAsia="方正仿宋_GBK"/>
          <w:sz w:val="24"/>
          <w:szCs w:val="24"/>
        </w:rPr>
      </w:pPr>
      <w:bookmarkStart w:id="68" w:name="_Toc527022010"/>
      <w:bookmarkStart w:id="69" w:name="_Toc42600949"/>
      <w:r>
        <w:rPr>
          <w:rFonts w:hint="eastAsia" w:ascii="方正仿宋_GBK" w:hAnsi="宋体" w:eastAsia="方正仿宋_GBK"/>
          <w:sz w:val="24"/>
          <w:szCs w:val="24"/>
        </w:rPr>
        <w:t>六、定标</w:t>
      </w:r>
      <w:bookmarkEnd w:id="68"/>
      <w:bookmarkEnd w:id="6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（一）定标原则</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采购人或其授权的评标委员会应按照评标报告中推荐的中标候选人排名顺序确定中标人。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（二）定标程序</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1.采购代理机构应当在评标结束后2个工作日内将评标报告送采购人。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2.采购人应当自收到评标报告之日起5个工作日内按评标报告推荐的中标候选人顺序确定中标人。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中标候选人并列的，由采购人或者采购人委托评标委员会按照技术需求的优劣顺序排列；技术需求优劣顺序相同的，按商务条款的优劣顺序排列确定中标人。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3.采购人或者采购代理机构应当自中标人确定之日起2个工作日内，在重庆海联职业技术学院官网上公告中标结果。中标公告期限为1个工作日。</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4.中标人变更</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中标人拒绝与采购人签订合同的，采购人可以按照评标报告推荐的中标候选人顺序，确定排名下一位的候选人为中标人，也可以重新开展政府采购活动。</w:t>
      </w:r>
    </w:p>
    <w:p>
      <w:pPr>
        <w:pStyle w:val="4"/>
        <w:spacing w:before="0" w:after="0" w:line="400" w:lineRule="exact"/>
        <w:rPr>
          <w:rFonts w:ascii="方正仿宋_GBK" w:hAnsi="宋体" w:eastAsia="方正仿宋_GBK"/>
          <w:sz w:val="24"/>
          <w:szCs w:val="24"/>
        </w:rPr>
      </w:pPr>
      <w:bookmarkStart w:id="70" w:name="_Toc42600950"/>
      <w:bookmarkStart w:id="71" w:name="_Toc527022011"/>
      <w:r>
        <w:rPr>
          <w:rFonts w:hint="eastAsia" w:ascii="方正仿宋_GBK" w:hAnsi="宋体" w:eastAsia="方正仿宋_GBK"/>
          <w:sz w:val="24"/>
          <w:szCs w:val="24"/>
        </w:rPr>
        <w:t>七、中标通知书</w:t>
      </w:r>
      <w:bookmarkEnd w:id="70"/>
      <w:bookmarkEnd w:id="71"/>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（一）采购人依法确定中标人后，采购代理机构以书面形式发出中标通知书。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（二）中标通知书发出后，采购人改变中标结果，或者中标人放弃中标，应当承担相应的法律责任。</w:t>
      </w:r>
    </w:p>
    <w:p>
      <w:pPr>
        <w:pStyle w:val="4"/>
        <w:spacing w:before="0" w:after="0" w:line="400" w:lineRule="exact"/>
        <w:rPr>
          <w:rFonts w:ascii="方正仿宋_GBK" w:hAnsi="宋体" w:eastAsia="方正仿宋_GBK"/>
          <w:sz w:val="24"/>
          <w:szCs w:val="24"/>
        </w:rPr>
      </w:pPr>
      <w:bookmarkStart w:id="72" w:name="_Toc527022012"/>
      <w:bookmarkStart w:id="73" w:name="_Toc42600951"/>
      <w:r>
        <w:rPr>
          <w:rFonts w:hint="eastAsia" w:ascii="方正仿宋_GBK" w:hAnsi="宋体" w:eastAsia="方正仿宋_GBK"/>
          <w:sz w:val="24"/>
          <w:szCs w:val="24"/>
        </w:rPr>
        <w:t>八、询问、质疑和投诉</w:t>
      </w:r>
      <w:bookmarkEnd w:id="72"/>
      <w:bookmarkEnd w:id="7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采购人或者采购代理机构应当在3个工作日内对投标人依法提出的询问作出答复。投标人询问可以是口头或书面形式。</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投标人认为采购文件、采购过程和中标结果使自己的权益收到伤害的，可向采购人或采购代理机构以书面形式提出质疑。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提出质疑的应当是参与所质疑项目采购活动的投标人。 </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1.质疑时限、内容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1.1投标人对招标文件提出质疑的，应在依法获取招标文件（购买了招标文件并完成了报名手续）之日或者招标文件公告期限届满之日起七个工作日内提出。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 投标人对采购过程提出质疑的，应在各采购程序环节结束之日起七个工作日内提出。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1.3投标人对中标结果提出质疑的，应当在中标结果公告期限届满之日起七个工作日内提出。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1.4投标人提出质疑应当提交质疑函和必要的证明材料，质疑函应当包括下列内容：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1.4.1供应商的姓名或者名称、地址、邮编、联系人及联系电话；</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1.4.2质疑项目的名称、项目号以及招标项目编号；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1.4.3具体、明确的质疑事项和与质疑事项相关的请求；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1.4.4事实依据；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1.4.5必要的法律依据；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1.4.6提出质疑的日期；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1.4.7营业执照（或事业单位法人证书，或个体工商户营业执照或有效的自然人身份证明、组织机构代码证）复印件；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1.4.8法定代表人授权委托书原件、法定代表人身份证复印件和其授权代表的身份证复印件（供应商为自然人的提供自然人身份证复印件）；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1.5供应商为自然人的，质疑函应当由本人签字；供应商为法人或者其他组织的，质疑函应当由法定代表人、主要负责人，或者其授权代表签字或者盖章，并加盖公章。</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2.质疑答复</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采购人、采购代理机构应当在收到投标人的书面质疑后七个工作日内作出答复，并以书面形式通知质疑投标人和其他有关投标人。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3.其他</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3.1投标人应按照《政府采购质疑和投诉办法》（财政部令第94号）及相关法律法规要求，在法定质疑期内一次性提出针对同一采购程序环节的质疑。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3.2质疑函范本可在财政部门户网站和中国政府采购网下载。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1.投标人对采购人、采购代理机构的答复不满意，或者采购人、采购代理机构未在规定时间内作出答复的，可以在答复期满后15个工作日内按照相关法律法规向重庆海联职业技术学院财政处提起投诉。</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2.投标人应按照《政府采购质疑和投诉办法》（财政部令第94号）及相关法律法规要求递交投诉书和必要的证明材料。投诉书范本可在财政部门户网站和中国政府采购网下载。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重庆海联职业技术学院财政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在确定受理投诉后，重庆海联职业技术学院财政处自受理投诉之日起30个工作日内（需要检验、检测、鉴定、专家评审以及需要投诉人补正材料的，所需时间不计算在投诉处理期限内）对投诉事项做出处理决定。</w:t>
      </w:r>
    </w:p>
    <w:p>
      <w:pPr>
        <w:pStyle w:val="4"/>
        <w:spacing w:before="0" w:after="0" w:line="400" w:lineRule="exact"/>
        <w:rPr>
          <w:rFonts w:ascii="方正仿宋_GBK" w:hAnsi="宋体" w:eastAsia="方正仿宋_GBK"/>
          <w:sz w:val="24"/>
          <w:szCs w:val="24"/>
        </w:rPr>
      </w:pPr>
      <w:bookmarkStart w:id="74" w:name="_Toc42600952"/>
      <w:bookmarkStart w:id="75" w:name="_Toc527022015"/>
      <w:r>
        <w:rPr>
          <w:rFonts w:hint="eastAsia" w:ascii="方正仿宋_GBK" w:hAnsi="宋体" w:eastAsia="方正仿宋_GBK"/>
          <w:sz w:val="24"/>
          <w:szCs w:val="24"/>
        </w:rPr>
        <w:t>九、签订合同</w:t>
      </w:r>
      <w:bookmarkEnd w:id="74"/>
      <w:bookmarkEnd w:id="7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（一）采购人应当自中标通知书发出之日起三十日内，按照招标文件和中标人投标文件的约定，与中标人签订书面合同。所签订的合同不得对招标文件和中标人投标文件作实质性修改。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（二）采购人应当自采购合同签订之日起2个工作日内，将采购合同在重庆海联职业技术学院官网上公告，但政府采购合同中涉及国家秘密、商业秘密的内容除外。</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（三）招标文件、中标人的投标文件及澄清文件等，均为签订采购合同的依据。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（六）采购人要求中标人提供履约保证金的，应当在招标文件中予以约定。中标人履约完毕后，采购人应按招标文件及合同的约定无息退还其履约保证金。</w:t>
      </w:r>
    </w:p>
    <w:p>
      <w:pPr>
        <w:spacing w:line="480" w:lineRule="exact"/>
        <w:ind w:firstLine="480" w:firstLineChars="200"/>
        <w:rPr>
          <w:rFonts w:ascii="方正仿宋_GBK" w:hAnsi="宋体" w:eastAsia="方正仿宋_GBK"/>
          <w:sz w:val="24"/>
          <w:szCs w:val="24"/>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76" w:name="_Toc42600953"/>
      <w:bookmarkStart w:id="77" w:name="_Toc527022017"/>
      <w:r>
        <w:rPr>
          <w:rFonts w:hint="eastAsia" w:ascii="方正小标宋_GBK" w:hAnsi="宋体" w:eastAsia="方正小标宋_GBK"/>
          <w:b w:val="0"/>
          <w:sz w:val="36"/>
          <w:szCs w:val="30"/>
        </w:rPr>
        <w:t>第六篇  合同主要条款和格式合同（样本）</w:t>
      </w:r>
      <w:bookmarkEnd w:id="76"/>
      <w:bookmarkEnd w:id="77"/>
    </w:p>
    <w:p>
      <w:pPr>
        <w:pStyle w:val="4"/>
        <w:spacing w:before="0" w:after="0" w:line="400" w:lineRule="exact"/>
        <w:rPr>
          <w:rFonts w:ascii="方正仿宋_GBK" w:hAnsi="宋体" w:eastAsia="方正仿宋_GBK"/>
          <w:sz w:val="24"/>
          <w:szCs w:val="24"/>
        </w:rPr>
      </w:pPr>
      <w:bookmarkStart w:id="78" w:name="_Toc42600954"/>
      <w:r>
        <w:rPr>
          <w:rFonts w:hint="eastAsia" w:ascii="方正仿宋_GBK" w:hAnsi="宋体" w:eastAsia="方正仿宋_GBK"/>
          <w:sz w:val="24"/>
          <w:szCs w:val="24"/>
        </w:rPr>
        <w:t>1.定义</w:t>
      </w:r>
      <w:bookmarkEnd w:id="78"/>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1.1甲方（需方）即采购人，是指通过招标采购，接受合同货物及服务的各级国家机关、事业单位和团体组织。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1.2乙方（供方）即中标人，是指中标后提供合同货物和服务的自然人、法人及其他组织。</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1.3合同是指由甲乙双方按照招标文件和投标文件的实质性内容，通过协商一致达成的书面协议。</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1.4合同价格指以中标价格为依据，在供方全面履行合同义务后，需方（或财政部门）应支付给供方的金额。</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1.5技术资料是指合同货物及其相关的设计、制造、监造、检验、验收等文件（包括图纸、各种文字说明、标准）。</w:t>
      </w:r>
    </w:p>
    <w:p>
      <w:pPr>
        <w:pStyle w:val="4"/>
        <w:spacing w:before="0" w:after="0" w:line="400" w:lineRule="exact"/>
        <w:rPr>
          <w:rFonts w:ascii="方正仿宋_GBK" w:hAnsi="宋体" w:eastAsia="方正仿宋_GBK"/>
          <w:sz w:val="24"/>
          <w:szCs w:val="24"/>
        </w:rPr>
      </w:pPr>
      <w:bookmarkStart w:id="79" w:name="_Toc42600955"/>
      <w:r>
        <w:rPr>
          <w:rFonts w:hint="eastAsia" w:ascii="方正仿宋_GBK" w:hAnsi="宋体" w:eastAsia="方正仿宋_GBK"/>
          <w:sz w:val="24"/>
          <w:szCs w:val="24"/>
        </w:rPr>
        <w:t>2.货物内容</w:t>
      </w:r>
      <w:bookmarkEnd w:id="7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合同包括以下内容：货物名称、型号规格、技术参数、数量（单位）等内容。</w:t>
      </w:r>
    </w:p>
    <w:p>
      <w:pPr>
        <w:pStyle w:val="4"/>
        <w:spacing w:before="0" w:after="0" w:line="400" w:lineRule="exact"/>
        <w:rPr>
          <w:rFonts w:ascii="方正仿宋_GBK" w:hAnsi="宋体" w:eastAsia="方正仿宋_GBK"/>
          <w:sz w:val="24"/>
          <w:szCs w:val="24"/>
        </w:rPr>
      </w:pPr>
      <w:bookmarkStart w:id="80" w:name="_Toc42600956"/>
      <w:r>
        <w:rPr>
          <w:rFonts w:hint="eastAsia" w:ascii="方正仿宋_GBK" w:hAnsi="宋体" w:eastAsia="方正仿宋_GBK"/>
          <w:sz w:val="24"/>
          <w:szCs w:val="24"/>
        </w:rPr>
        <w:t>3.合同价格</w:t>
      </w:r>
      <w:bookmarkEnd w:id="80"/>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3.1合同价格即合同总价。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3.2合同价格包括合同货物、技术资料、合同货物的税费、运杂费、保险费、包装费、装卸费及与货物有关的供方应纳的税费，所有税费由乙方负担。</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3.3合同货物单价为不变价。</w:t>
      </w:r>
    </w:p>
    <w:p>
      <w:pPr>
        <w:pStyle w:val="4"/>
        <w:spacing w:before="0" w:after="0" w:line="400" w:lineRule="exact"/>
        <w:rPr>
          <w:rFonts w:ascii="方正仿宋_GBK" w:hAnsi="宋体" w:eastAsia="方正仿宋_GBK"/>
          <w:sz w:val="24"/>
          <w:szCs w:val="24"/>
        </w:rPr>
      </w:pPr>
      <w:bookmarkStart w:id="81" w:name="_Toc42600957"/>
      <w:r>
        <w:rPr>
          <w:rFonts w:hint="eastAsia" w:ascii="方正仿宋_GBK" w:hAnsi="宋体" w:eastAsia="方正仿宋_GBK"/>
          <w:sz w:val="24"/>
          <w:szCs w:val="24"/>
        </w:rPr>
        <w:t>4.转包或分包</w:t>
      </w:r>
      <w:bookmarkEnd w:id="81"/>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4.1本合同范围的货物，应由乙方直接供应，不得转让他人供应；</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4.2非经甲方书面同意，乙方不得将本合同范围的货物全部或部分分包给他人供应；</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4.3如有转让和未经甲方同意的分包行为，甲方有权解除合同，没收履约保证金并追究乙方的违约责任。</w:t>
      </w:r>
    </w:p>
    <w:p>
      <w:pPr>
        <w:pStyle w:val="4"/>
        <w:spacing w:before="0" w:after="0" w:line="400" w:lineRule="exact"/>
        <w:rPr>
          <w:rFonts w:ascii="方正仿宋_GBK" w:hAnsi="宋体" w:eastAsia="方正仿宋_GBK"/>
          <w:sz w:val="24"/>
          <w:szCs w:val="24"/>
        </w:rPr>
      </w:pPr>
      <w:bookmarkStart w:id="82" w:name="_Toc42600958"/>
      <w:r>
        <w:rPr>
          <w:rFonts w:hint="eastAsia" w:ascii="方正仿宋_GBK" w:hAnsi="宋体" w:eastAsia="方正仿宋_GBK"/>
          <w:sz w:val="24"/>
          <w:szCs w:val="24"/>
        </w:rPr>
        <w:t>5.质量保证及售后服务</w:t>
      </w:r>
      <w:bookmarkEnd w:id="82"/>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5.1乙方应按招标文件规定的货物性能、技术要求、质量标准向甲方提供未经使用的全新产品。</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5.2乙方提供的货物在质保期内因货物本身的质量问题发生故障，乙方应负责免费更换。对达不到技术要求者，根据实际情况，经双方协商，可按以下办法处理：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5.2.1更换：由乙方承担所发生的全部费用。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5.2.2贬值处理：由甲乙双方合议定价。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5.2.3退货处理：乙方应退还甲方支付的合同款，同时应承担该货物的直接费用（运输、保险、检验、货款利息及银行手续费等）。</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5.3如在使用过程中发生质量问题，乙方应按本项目“第三篇 项目商务要求”中的要求处理。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5.4在质保期内，乙方应对货物出现的质量及安全问题负责处理解决并承担一切费用。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5.5 如甲方要求乙方提供履约保证金的，履约保证金的收取和退还应按本项目“第三篇 项目商务要求”中的要求处理。</w:t>
      </w:r>
    </w:p>
    <w:p>
      <w:pPr>
        <w:pStyle w:val="4"/>
        <w:spacing w:before="0" w:after="0" w:line="400" w:lineRule="exact"/>
        <w:rPr>
          <w:rFonts w:ascii="方正仿宋_GBK" w:hAnsi="宋体" w:eastAsia="方正仿宋_GBK"/>
          <w:sz w:val="24"/>
          <w:szCs w:val="24"/>
        </w:rPr>
      </w:pPr>
      <w:bookmarkStart w:id="83" w:name="_Toc42600959"/>
      <w:r>
        <w:rPr>
          <w:rFonts w:hint="eastAsia" w:ascii="方正仿宋_GBK" w:hAnsi="宋体" w:eastAsia="方正仿宋_GBK"/>
          <w:sz w:val="24"/>
          <w:szCs w:val="24"/>
        </w:rPr>
        <w:t>6.付款</w:t>
      </w:r>
      <w:bookmarkEnd w:id="8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6.1本合同使用货币币制如未作特别说明均为人民币。</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6.2付款方式：银行转账、现金支票。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6.3付款方法：同本项目“第三篇 商务条款”中关于付款方式的约定。</w:t>
      </w:r>
    </w:p>
    <w:p>
      <w:pPr>
        <w:pStyle w:val="4"/>
        <w:spacing w:before="0" w:after="0" w:line="400" w:lineRule="exact"/>
        <w:rPr>
          <w:rFonts w:ascii="方正仿宋_GBK" w:hAnsi="宋体" w:eastAsia="方正仿宋_GBK"/>
          <w:sz w:val="24"/>
          <w:szCs w:val="24"/>
        </w:rPr>
      </w:pPr>
      <w:bookmarkStart w:id="84" w:name="_Toc42600960"/>
      <w:r>
        <w:rPr>
          <w:rFonts w:hint="eastAsia" w:ascii="方正仿宋_GBK" w:hAnsi="宋体" w:eastAsia="方正仿宋_GBK"/>
          <w:sz w:val="24"/>
          <w:szCs w:val="24"/>
        </w:rPr>
        <w:t>7.检查验收</w:t>
      </w:r>
      <w:bookmarkEnd w:id="8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7.1供方应随货物提供合格证和质量证明文件，如是国外进口的货物还须提供入关证明。</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7.2货物验收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7.3货物验收报告应由需方、供方经办人签字，并加盖双方公章，以此作为支付凭据。</w:t>
      </w:r>
    </w:p>
    <w:p>
      <w:pPr>
        <w:pStyle w:val="4"/>
        <w:spacing w:before="0" w:after="0" w:line="400" w:lineRule="exact"/>
        <w:rPr>
          <w:rFonts w:ascii="方正仿宋_GBK" w:hAnsi="宋体" w:eastAsia="方正仿宋_GBK"/>
          <w:sz w:val="24"/>
          <w:szCs w:val="24"/>
        </w:rPr>
      </w:pPr>
      <w:bookmarkStart w:id="85" w:name="_Toc42600961"/>
      <w:r>
        <w:rPr>
          <w:rFonts w:hint="eastAsia" w:ascii="方正仿宋_GBK" w:hAnsi="宋体" w:eastAsia="方正仿宋_GBK"/>
          <w:sz w:val="24"/>
          <w:szCs w:val="24"/>
        </w:rPr>
        <w:t>8.索赔</w:t>
      </w:r>
      <w:bookmarkEnd w:id="8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供方对货物与合同要求不符负有责任，并且需方已于规定交货内和质量保证期内提出索赔，供方应按需方同意的下述一种或多种方法解决索赔事宜。</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8.2根据货物的疵劣和受损程度以及需方遭受损失的金额，经双方同意降低货物价格。</w:t>
      </w:r>
    </w:p>
    <w:p>
      <w:pPr>
        <w:pStyle w:val="4"/>
        <w:spacing w:before="0" w:after="0" w:line="400" w:lineRule="exact"/>
        <w:rPr>
          <w:rFonts w:ascii="方正仿宋_GBK" w:hAnsi="宋体" w:eastAsia="方正仿宋_GBK"/>
          <w:sz w:val="24"/>
          <w:szCs w:val="24"/>
        </w:rPr>
      </w:pPr>
      <w:bookmarkStart w:id="86" w:name="_Toc42600962"/>
      <w:r>
        <w:rPr>
          <w:rFonts w:hint="eastAsia" w:ascii="方正仿宋_GBK" w:hAnsi="宋体" w:eastAsia="方正仿宋_GBK"/>
          <w:sz w:val="24"/>
          <w:szCs w:val="24"/>
        </w:rPr>
        <w:t>9.知识产权</w:t>
      </w:r>
      <w:bookmarkEnd w:id="86"/>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pStyle w:val="4"/>
        <w:spacing w:before="0" w:after="0" w:line="400" w:lineRule="exact"/>
        <w:rPr>
          <w:rFonts w:ascii="方正仿宋_GBK" w:hAnsi="宋体" w:eastAsia="方正仿宋_GBK"/>
          <w:sz w:val="24"/>
          <w:szCs w:val="24"/>
        </w:rPr>
      </w:pPr>
      <w:bookmarkStart w:id="87" w:name="_Toc42600963"/>
      <w:r>
        <w:rPr>
          <w:rFonts w:hint="eastAsia" w:ascii="方正仿宋_GBK" w:hAnsi="宋体" w:eastAsia="方正仿宋_GBK"/>
          <w:sz w:val="24"/>
          <w:szCs w:val="24"/>
        </w:rPr>
        <w:t>10.合同争议的解决</w:t>
      </w:r>
      <w:bookmarkEnd w:id="8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10.1当事人友好协商达成一致。</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10.2在60天内当事人协商不能达成协议的，可提请采购人当地人民法院来解决。</w:t>
      </w:r>
    </w:p>
    <w:p>
      <w:pPr>
        <w:pStyle w:val="4"/>
        <w:spacing w:before="0" w:after="0" w:line="400" w:lineRule="exact"/>
        <w:rPr>
          <w:rFonts w:ascii="方正仿宋_GBK" w:hAnsi="宋体" w:eastAsia="方正仿宋_GBK"/>
          <w:sz w:val="24"/>
          <w:szCs w:val="24"/>
        </w:rPr>
      </w:pPr>
      <w:bookmarkStart w:id="88" w:name="_Toc42600964"/>
      <w:r>
        <w:rPr>
          <w:rFonts w:hint="eastAsia" w:ascii="方正仿宋_GBK" w:hAnsi="宋体" w:eastAsia="方正仿宋_GBK"/>
          <w:sz w:val="24"/>
          <w:szCs w:val="24"/>
        </w:rPr>
        <w:t>11.违约责任</w:t>
      </w:r>
      <w:bookmarkEnd w:id="88"/>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按《中华人民共和国民法典》、《中华人民共和国政府采购法》有关条款，或由供需双方约定。</w:t>
      </w:r>
    </w:p>
    <w:p>
      <w:pPr>
        <w:pStyle w:val="4"/>
        <w:spacing w:before="0" w:after="0" w:line="400" w:lineRule="exact"/>
        <w:rPr>
          <w:rFonts w:ascii="方正仿宋_GBK" w:hAnsi="宋体" w:eastAsia="方正仿宋_GBK"/>
          <w:sz w:val="24"/>
          <w:szCs w:val="24"/>
        </w:rPr>
      </w:pPr>
      <w:bookmarkStart w:id="89" w:name="_Toc42600965"/>
      <w:r>
        <w:rPr>
          <w:rFonts w:hint="eastAsia" w:ascii="方正仿宋_GBK" w:hAnsi="宋体" w:eastAsia="方正仿宋_GBK"/>
          <w:sz w:val="24"/>
          <w:szCs w:val="24"/>
        </w:rPr>
        <w:t>12.合同生效及其它</w:t>
      </w:r>
      <w:bookmarkEnd w:id="8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12.1合同生效及其效力应符合《中华人民共和国民法典》有关规定。</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12.2合同应经当事人法定代表人或委托代理人签字，加盖双方合同专用章或公章。</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12.3合同所包括附件，是合同不可分割的一部分，具有同等法法律效力。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12.4合同需提供担保的，按《中华人民共和国民法典》规定执行。</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12.5本合同条件未尽事宜依照《中华人民共和国民法典》，由供需双方共同协商确定。</w:t>
      </w:r>
    </w:p>
    <w:p>
      <w:pPr>
        <w:snapToGrid w:val="0"/>
        <w:spacing w:line="500" w:lineRule="exact"/>
        <w:outlineLvl w:val="0"/>
        <w:rPr>
          <w:rFonts w:ascii="方正仿宋_GBK" w:eastAsia="方正仿宋_GBK"/>
          <w:sz w:val="44"/>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90" w:name="_Toc527022020"/>
      <w:bookmarkStart w:id="91" w:name="_Toc42600966"/>
      <w:r>
        <w:rPr>
          <w:rFonts w:hint="eastAsia" w:ascii="方正小标宋_GBK" w:hAnsi="宋体" w:eastAsia="方正小标宋_GBK"/>
          <w:b w:val="0"/>
          <w:sz w:val="36"/>
          <w:szCs w:val="30"/>
        </w:rPr>
        <w:t>第七篇  投标文件格式</w:t>
      </w:r>
      <w:bookmarkEnd w:id="90"/>
      <w:bookmarkEnd w:id="91"/>
    </w:p>
    <w:p>
      <w:pPr>
        <w:pStyle w:val="4"/>
        <w:spacing w:before="0" w:after="0" w:line="400" w:lineRule="exact"/>
        <w:rPr>
          <w:rFonts w:ascii="方正仿宋_GBK" w:eastAsia="方正仿宋_GBK"/>
          <w:b w:val="0"/>
          <w:szCs w:val="28"/>
        </w:rPr>
      </w:pPr>
      <w:bookmarkStart w:id="92" w:name="_Toc527022021"/>
      <w:bookmarkStart w:id="93" w:name="_Toc429584884"/>
      <w:bookmarkStart w:id="94" w:name="_Toc42600967"/>
      <w:r>
        <w:rPr>
          <w:rFonts w:hint="eastAsia" w:ascii="方正仿宋_GBK" w:hAnsi="宋体" w:eastAsia="方正仿宋_GBK"/>
          <w:sz w:val="24"/>
          <w:szCs w:val="24"/>
        </w:rPr>
        <w:t>一、经济文件</w:t>
      </w:r>
      <w:bookmarkEnd w:id="92"/>
      <w:bookmarkEnd w:id="93"/>
      <w:bookmarkEnd w:id="94"/>
    </w:p>
    <w:p>
      <w:pPr>
        <w:snapToGrid w:val="0"/>
        <w:spacing w:line="500" w:lineRule="exact"/>
        <w:jc w:val="center"/>
        <w:rPr>
          <w:rFonts w:ascii="方正仿宋_GBK" w:hAnsi="宋体" w:eastAsia="方正仿宋_GBK"/>
          <w:sz w:val="24"/>
          <w:szCs w:val="24"/>
        </w:rPr>
      </w:pPr>
      <w:r>
        <w:rPr>
          <w:rFonts w:hint="eastAsia" w:ascii="方正仿宋_GBK" w:hAnsi="宋体" w:eastAsia="方正仿宋_GBK"/>
          <w:sz w:val="24"/>
          <w:szCs w:val="24"/>
        </w:rPr>
        <w:t>（一）开标一览表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178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投标人名称</w:t>
            </w:r>
          </w:p>
        </w:tc>
        <w:tc>
          <w:tcPr>
            <w:tcW w:w="7840" w:type="dxa"/>
            <w:gridSpan w:val="3"/>
            <w:vAlign w:val="center"/>
          </w:tcPr>
          <w:p>
            <w:pPr>
              <w:spacing w:line="360" w:lineRule="auto"/>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178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分包号</w:t>
            </w:r>
          </w:p>
        </w:tc>
        <w:tc>
          <w:tcPr>
            <w:tcW w:w="214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分包名称</w:t>
            </w:r>
          </w:p>
        </w:tc>
        <w:tc>
          <w:tcPr>
            <w:tcW w:w="932"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w:t>
            </w:r>
          </w:p>
        </w:tc>
        <w:tc>
          <w:tcPr>
            <w:tcW w:w="4760" w:type="dxa"/>
            <w:vAlign w:val="center"/>
          </w:tcPr>
          <w:p>
            <w:pPr>
              <w:spacing w:line="360" w:lineRule="auto"/>
              <w:jc w:val="center"/>
              <w:rPr>
                <w:rFonts w:ascii="方正仿宋_GBK" w:hAnsi="宋体" w:eastAsia="方正仿宋_GBK"/>
                <w:sz w:val="24"/>
                <w:szCs w:val="24"/>
              </w:rPr>
            </w:pPr>
            <w:r>
              <w:rPr>
                <w:rFonts w:hint="eastAsia" w:ascii="方正仿宋_GBK" w:hAnsi="方正仿宋_GBK" w:eastAsia="方正仿宋_GBK"/>
                <w:sz w:val="24"/>
                <w:szCs w:val="24"/>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788" w:type="dxa"/>
            <w:tcBorders>
              <w:bottom w:val="single" w:color="auto" w:sz="4" w:space="0"/>
            </w:tcBorders>
            <w:vAlign w:val="center"/>
          </w:tcPr>
          <w:p>
            <w:pPr>
              <w:spacing w:line="360" w:lineRule="auto"/>
              <w:jc w:val="center"/>
              <w:rPr>
                <w:rFonts w:ascii="方正仿宋_GBK" w:hAnsi="宋体" w:eastAsia="方正仿宋_GBK"/>
                <w:sz w:val="24"/>
                <w:szCs w:val="24"/>
              </w:rPr>
            </w:pPr>
          </w:p>
        </w:tc>
        <w:tc>
          <w:tcPr>
            <w:tcW w:w="2148" w:type="dxa"/>
            <w:tcBorders>
              <w:bottom w:val="single" w:color="auto" w:sz="4" w:space="0"/>
            </w:tcBorders>
          </w:tcPr>
          <w:p>
            <w:pPr>
              <w:spacing w:line="360" w:lineRule="auto"/>
              <w:jc w:val="center"/>
              <w:rPr>
                <w:rFonts w:ascii="方正仿宋_GBK" w:hAnsi="宋体" w:eastAsia="方正仿宋_GBK"/>
                <w:sz w:val="24"/>
                <w:szCs w:val="24"/>
              </w:rPr>
            </w:pPr>
          </w:p>
        </w:tc>
        <w:tc>
          <w:tcPr>
            <w:tcW w:w="932" w:type="dxa"/>
            <w:tcBorders>
              <w:bottom w:val="single" w:color="auto" w:sz="4" w:space="0"/>
            </w:tcBorders>
          </w:tcPr>
          <w:p>
            <w:pPr>
              <w:spacing w:line="360" w:lineRule="auto"/>
              <w:jc w:val="center"/>
              <w:rPr>
                <w:rFonts w:ascii="方正仿宋_GBK" w:hAnsi="宋体" w:eastAsia="方正仿宋_GBK"/>
                <w:sz w:val="24"/>
                <w:szCs w:val="24"/>
              </w:rPr>
            </w:pPr>
          </w:p>
        </w:tc>
        <w:tc>
          <w:tcPr>
            <w:tcW w:w="4760" w:type="dxa"/>
            <w:tcBorders>
              <w:bottom w:val="single" w:color="auto" w:sz="4" w:space="0"/>
            </w:tcBorders>
          </w:tcPr>
          <w:p>
            <w:pPr>
              <w:spacing w:line="360" w:lineRule="auto"/>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9628" w:type="dxa"/>
            <w:gridSpan w:val="4"/>
            <w:tcBorders>
              <w:bottom w:val="single" w:color="auto" w:sz="4" w:space="0"/>
            </w:tcBorders>
            <w:vAlign w:val="center"/>
          </w:tcPr>
          <w:p>
            <w:pPr>
              <w:spacing w:line="360" w:lineRule="auto"/>
              <w:jc w:val="left"/>
              <w:rPr>
                <w:rFonts w:ascii="方正仿宋_GBK" w:hAnsi="宋体" w:eastAsia="方正仿宋_GBK"/>
                <w:sz w:val="24"/>
                <w:szCs w:val="24"/>
              </w:rPr>
            </w:pPr>
            <w:r>
              <w:rPr>
                <w:rFonts w:hint="eastAsia" w:ascii="方正仿宋_GBK" w:hAnsi="宋体" w:eastAsia="方正仿宋_GBK"/>
                <w:sz w:val="24"/>
                <w:szCs w:val="24"/>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trPr>
        <w:tc>
          <w:tcPr>
            <w:tcW w:w="9628" w:type="dxa"/>
            <w:gridSpan w:val="4"/>
            <w:vAlign w:val="center"/>
          </w:tcPr>
          <w:p>
            <w:pPr>
              <w:pStyle w:val="33"/>
              <w:spacing w:line="360" w:lineRule="auto"/>
              <w:jc w:val="left"/>
              <w:rPr>
                <w:rFonts w:ascii="方正仿宋_GBK" w:hAnsi="宋体" w:eastAsia="方正仿宋_GBK"/>
                <w:sz w:val="24"/>
                <w:szCs w:val="24"/>
              </w:rPr>
            </w:pPr>
            <w:r>
              <w:rPr>
                <w:rFonts w:hint="eastAsia" w:ascii="方正仿宋_GBK" w:hAnsi="仿宋" w:eastAsia="方正仿宋_GBK"/>
                <w:sz w:val="24"/>
                <w:szCs w:val="24"/>
              </w:rPr>
              <w:t>备注：</w:t>
            </w:r>
          </w:p>
        </w:tc>
      </w:tr>
    </w:tbl>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                               （签字或盖章）</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1.开标一览表按格式填列；</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2.开标一览表在开标大会上当众宣读，务必填写清楚，准确无误；</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3.若以联合体参与投标的，应在“投标人名称”处注明所有联合体名称。“投标人”处至少应加盖联合体主办方（主体）公章。</w:t>
      </w:r>
    </w:p>
    <w:p>
      <w:pPr>
        <w:spacing w:line="480" w:lineRule="exact"/>
        <w:ind w:firstLine="560" w:firstLineChars="200"/>
        <w:rPr>
          <w:rFonts w:ascii="方正仿宋_GBK" w:hAnsi="仿宋" w:eastAsia="方正仿宋_GBK"/>
          <w:sz w:val="24"/>
          <w:szCs w:val="28"/>
        </w:rPr>
      </w:pPr>
      <w:r>
        <w:rPr>
          <w:rFonts w:hint="eastAsia" w:ascii="方正仿宋_GBK" w:eastAsia="方正仿宋_GBK"/>
          <w:szCs w:val="28"/>
        </w:rPr>
        <w:br w:type="page"/>
      </w:r>
      <w:r>
        <w:rPr>
          <w:rFonts w:hint="eastAsia" w:ascii="方正仿宋_GBK" w:hAnsi="宋体" w:eastAsia="方正仿宋_GBK"/>
          <w:sz w:val="24"/>
          <w:szCs w:val="24"/>
        </w:rPr>
        <w:t>（二）分项报价明细表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单位：元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88"/>
        <w:gridCol w:w="2620"/>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6"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序号</w:t>
            </w:r>
          </w:p>
        </w:tc>
        <w:tc>
          <w:tcPr>
            <w:tcW w:w="788"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名称</w:t>
            </w:r>
          </w:p>
        </w:tc>
        <w:tc>
          <w:tcPr>
            <w:tcW w:w="2620"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品牌、规格型号</w:t>
            </w:r>
          </w:p>
        </w:tc>
        <w:tc>
          <w:tcPr>
            <w:tcW w:w="1242"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制造商</w:t>
            </w:r>
          </w:p>
        </w:tc>
        <w:tc>
          <w:tcPr>
            <w:tcW w:w="1242"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原产地</w:t>
            </w:r>
          </w:p>
        </w:tc>
        <w:tc>
          <w:tcPr>
            <w:tcW w:w="934"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数量</w:t>
            </w:r>
          </w:p>
        </w:tc>
        <w:tc>
          <w:tcPr>
            <w:tcW w:w="934"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单价</w:t>
            </w:r>
          </w:p>
        </w:tc>
        <w:tc>
          <w:tcPr>
            <w:tcW w:w="934" w:type="dxa"/>
            <w:vAlign w:val="center"/>
          </w:tcPr>
          <w:p>
            <w:pPr>
              <w:jc w:val="center"/>
              <w:rPr>
                <w:rFonts w:ascii="方正仿宋_GBK" w:hAnsi="仿宋" w:eastAsia="方正仿宋_GBK"/>
                <w:b/>
                <w:sz w:val="24"/>
                <w:szCs w:val="24"/>
              </w:rPr>
            </w:pPr>
            <w:r>
              <w:rPr>
                <w:rFonts w:hint="eastAsia" w:ascii="方正仿宋_GBK" w:hAnsi="仿宋" w:eastAsia="方正仿宋_GBK"/>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2</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3</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4</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5</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6</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7</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8</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r>
              <w:rPr>
                <w:rFonts w:hint="eastAsia" w:ascii="方正仿宋_GBK" w:hAnsi="仿宋" w:eastAsia="方正仿宋_GBK"/>
                <w:sz w:val="24"/>
                <w:szCs w:val="24"/>
              </w:rPr>
              <w:t>/</w:t>
            </w: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9</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r>
              <w:rPr>
                <w:rFonts w:hint="eastAsia" w:ascii="方正仿宋_GBK" w:hAnsi="仿宋" w:eastAsia="方正仿宋_GBK"/>
                <w:sz w:val="24"/>
                <w:szCs w:val="24"/>
              </w:rPr>
              <w:t>/</w:t>
            </w: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10</w:t>
            </w:r>
          </w:p>
        </w:tc>
        <w:tc>
          <w:tcPr>
            <w:tcW w:w="788" w:type="dxa"/>
            <w:vAlign w:val="center"/>
          </w:tcPr>
          <w:p>
            <w:pPr>
              <w:jc w:val="center"/>
              <w:rPr>
                <w:rFonts w:ascii="方正仿宋_GBK" w:hAnsi="仿宋" w:eastAsia="方正仿宋_GBK"/>
                <w:sz w:val="24"/>
                <w:szCs w:val="24"/>
              </w:rPr>
            </w:pP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r>
              <w:rPr>
                <w:rFonts w:hint="eastAsia" w:ascii="方正仿宋_GBK" w:hAnsi="仿宋" w:eastAsia="方正仿宋_GBK"/>
                <w:sz w:val="24"/>
                <w:szCs w:val="24"/>
              </w:rPr>
              <w:t>/</w:t>
            </w: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11</w:t>
            </w:r>
          </w:p>
        </w:tc>
        <w:tc>
          <w:tcPr>
            <w:tcW w:w="788" w:type="dxa"/>
            <w:vAlign w:val="center"/>
          </w:tcPr>
          <w:p>
            <w:pPr>
              <w:jc w:val="center"/>
              <w:rPr>
                <w:rFonts w:ascii="方正仿宋_GBK" w:hAnsi="仿宋" w:eastAsia="方正仿宋_GBK"/>
                <w:sz w:val="24"/>
                <w:szCs w:val="24"/>
              </w:rPr>
            </w:pPr>
            <w:r>
              <w:rPr>
                <w:rFonts w:hint="eastAsia" w:ascii="方正仿宋_GBK" w:hAnsi="仿宋" w:eastAsia="方正仿宋_GBK"/>
                <w:sz w:val="24"/>
                <w:szCs w:val="24"/>
              </w:rPr>
              <w:t>……</w:t>
            </w:r>
          </w:p>
        </w:tc>
        <w:tc>
          <w:tcPr>
            <w:tcW w:w="2620"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1242" w:type="dxa"/>
          </w:tcPr>
          <w:p>
            <w:pPr>
              <w:jc w:val="center"/>
              <w:rPr>
                <w:rFonts w:ascii="方正仿宋_GBK" w:hAnsi="仿宋" w:eastAsia="方正仿宋_GBK"/>
                <w:sz w:val="24"/>
                <w:szCs w:val="24"/>
              </w:rPr>
            </w:pPr>
          </w:p>
        </w:tc>
        <w:tc>
          <w:tcPr>
            <w:tcW w:w="934" w:type="dxa"/>
            <w:vAlign w:val="center"/>
          </w:tcPr>
          <w:p>
            <w:pPr>
              <w:jc w:val="center"/>
              <w:rPr>
                <w:rFonts w:ascii="方正仿宋_GBK" w:hAnsi="仿宋" w:eastAsia="方正仿宋_GBK"/>
                <w:sz w:val="24"/>
                <w:szCs w:val="24"/>
              </w:rPr>
            </w:pPr>
            <w:r>
              <w:rPr>
                <w:rFonts w:hint="eastAsia" w:ascii="方正仿宋_GBK" w:hAnsi="仿宋" w:eastAsia="方正仿宋_GBK"/>
                <w:sz w:val="24"/>
                <w:szCs w:val="24"/>
              </w:rPr>
              <w:t>/</w:t>
            </w:r>
          </w:p>
        </w:tc>
        <w:tc>
          <w:tcPr>
            <w:tcW w:w="934" w:type="dxa"/>
          </w:tcPr>
          <w:p>
            <w:pPr>
              <w:jc w:val="center"/>
              <w:rPr>
                <w:rFonts w:ascii="方正仿宋_GBK" w:hAnsi="仿宋" w:eastAsia="方正仿宋_GBK"/>
                <w:sz w:val="24"/>
                <w:szCs w:val="24"/>
              </w:rPr>
            </w:pPr>
          </w:p>
        </w:tc>
        <w:tc>
          <w:tcPr>
            <w:tcW w:w="934" w:type="dxa"/>
          </w:tcPr>
          <w:p>
            <w:pPr>
              <w:jc w:val="center"/>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vAlign w:val="center"/>
          </w:tcPr>
          <w:p>
            <w:pPr>
              <w:pStyle w:val="24"/>
              <w:spacing w:line="240" w:lineRule="atLeast"/>
              <w:ind w:left="0"/>
              <w:jc w:val="center"/>
              <w:outlineLvl w:val="0"/>
              <w:rPr>
                <w:rFonts w:ascii="方正仿宋_GBK" w:hAnsi="仿宋" w:eastAsia="方正仿宋_GBK"/>
                <w:sz w:val="24"/>
                <w:szCs w:val="24"/>
              </w:rPr>
            </w:pPr>
            <w:r>
              <w:rPr>
                <w:rFonts w:hint="eastAsia" w:ascii="方正仿宋_GBK" w:hAnsi="仿宋" w:eastAsia="方正仿宋_GBK"/>
                <w:sz w:val="24"/>
                <w:szCs w:val="24"/>
              </w:rPr>
              <w:t>12</w:t>
            </w:r>
          </w:p>
        </w:tc>
        <w:tc>
          <w:tcPr>
            <w:tcW w:w="788" w:type="dxa"/>
            <w:vAlign w:val="center"/>
          </w:tcPr>
          <w:p>
            <w:pPr>
              <w:jc w:val="center"/>
              <w:rPr>
                <w:rFonts w:ascii="方正仿宋_GBK" w:hAnsi="仿宋" w:eastAsia="方正仿宋_GBK"/>
                <w:sz w:val="24"/>
                <w:szCs w:val="24"/>
              </w:rPr>
            </w:pPr>
            <w:r>
              <w:rPr>
                <w:rFonts w:hint="eastAsia" w:ascii="方正仿宋_GBK" w:hAnsi="仿宋" w:eastAsia="方正仿宋_GBK"/>
                <w:sz w:val="24"/>
                <w:szCs w:val="24"/>
              </w:rPr>
              <w:t>总计</w:t>
            </w:r>
          </w:p>
        </w:tc>
        <w:tc>
          <w:tcPr>
            <w:tcW w:w="7906" w:type="dxa"/>
            <w:gridSpan w:val="6"/>
          </w:tcPr>
          <w:p>
            <w:pPr>
              <w:rPr>
                <w:rFonts w:ascii="方正仿宋_GBK" w:hAnsi="仿宋" w:eastAsia="方正仿宋_GBK"/>
                <w:sz w:val="24"/>
                <w:szCs w:val="24"/>
              </w:rPr>
            </w:pPr>
          </w:p>
        </w:tc>
      </w:tr>
    </w:tbl>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                               （签字或盖章）</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1.请投标人完整填写本表；</w:t>
      </w:r>
    </w:p>
    <w:p>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2.该表可扩展，并逐页签字或盖章。</w:t>
      </w:r>
    </w:p>
    <w:p>
      <w:pPr>
        <w:pStyle w:val="4"/>
        <w:spacing w:before="0" w:after="0" w:line="400" w:lineRule="exact"/>
        <w:rPr>
          <w:rFonts w:ascii="方正仿宋_GBK" w:hAnsi="宋体" w:eastAsia="方正仿宋_GBK"/>
          <w:sz w:val="24"/>
          <w:szCs w:val="24"/>
        </w:rPr>
      </w:pPr>
      <w:bookmarkStart w:id="95" w:name="_Toc527022022"/>
      <w:bookmarkStart w:id="96" w:name="_Toc493178790"/>
      <w:bookmarkStart w:id="97" w:name="_Toc42600968"/>
      <w:r>
        <w:rPr>
          <w:rFonts w:hint="eastAsia" w:ascii="方正仿宋_GBK" w:hAnsi="宋体" w:eastAsia="方正仿宋_GBK"/>
          <w:sz w:val="24"/>
          <w:szCs w:val="24"/>
        </w:rPr>
        <w:t>二、技术文件</w:t>
      </w:r>
      <w:bookmarkEnd w:id="95"/>
      <w:bookmarkEnd w:id="96"/>
      <w:bookmarkEnd w:id="9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（二）所投各产品进入当期国家节能、环保清单目录的证明文件（如果有）</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说明：节能、环保以国家财政部等部门发布的最新一期《节能产品政府采购清单》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和《环境标志产品政府采购清单》为准（投标人须提供所投产品在《节能产品政府采购清单》和《环境标志产品政府采购清单》中相应页面的打印或复印材料，未按要求提供的不得分。</w:t>
      </w:r>
    </w:p>
    <w:p>
      <w:pPr>
        <w:tabs>
          <w:tab w:val="left" w:pos="6300"/>
        </w:tabs>
        <w:snapToGrid w:val="0"/>
        <w:spacing w:line="500" w:lineRule="exact"/>
        <w:ind w:firstLine="570"/>
        <w:rPr>
          <w:rFonts w:ascii="方正仿宋_GBK" w:hAnsi="仿宋" w:eastAsia="方正仿宋_GBK"/>
          <w:szCs w:val="24"/>
        </w:rPr>
      </w:pP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24"/>
        </w:rPr>
        <w:br w:type="page"/>
      </w:r>
      <w:r>
        <w:rPr>
          <w:rFonts w:hint="eastAsia" w:ascii="方正仿宋_GBK" w:hAnsi="宋体" w:eastAsia="方正仿宋_GBK"/>
          <w:sz w:val="24"/>
          <w:szCs w:val="24"/>
        </w:rPr>
        <w:t>（三）技术条款差异表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序号</w:t>
            </w: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招标要求</w:t>
            </w: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投标应答</w:t>
            </w: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bl>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（投标人公章）                               （签字或盖章）</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1.本表即为对本项目“第二篇  项目技术规格、数量及质量要求”中所列技术要求进行比较和响应；</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2.该表必须按照招标文件要求逐条如实填写，根据投标情况在“差异说明”项填写正偏离或负偏离及原因，完全符合的填写“无差异”；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4.可附相关技术支撑材料。（格式自定）</w:t>
      </w:r>
    </w:p>
    <w:p>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p>
    <w:p>
      <w:pPr>
        <w:pStyle w:val="4"/>
        <w:spacing w:before="0" w:after="0" w:line="400" w:lineRule="exact"/>
        <w:rPr>
          <w:rFonts w:ascii="方正仿宋_GBK" w:hAnsi="宋体" w:eastAsia="方正仿宋_GBK"/>
          <w:sz w:val="24"/>
          <w:szCs w:val="24"/>
        </w:rPr>
      </w:pPr>
      <w:bookmarkStart w:id="98" w:name="_Toc492721039"/>
      <w:bookmarkStart w:id="99" w:name="_Toc493178791"/>
      <w:bookmarkStart w:id="100" w:name="_Toc527022023"/>
      <w:bookmarkStart w:id="101" w:name="_Toc42600969"/>
      <w:r>
        <w:rPr>
          <w:rFonts w:hint="eastAsia" w:ascii="方正仿宋_GBK" w:hAnsi="宋体" w:eastAsia="方正仿宋_GBK"/>
          <w:sz w:val="24"/>
          <w:szCs w:val="24"/>
        </w:rPr>
        <w:t>三、商务文件</w:t>
      </w:r>
      <w:bookmarkEnd w:id="98"/>
      <w:bookmarkEnd w:id="99"/>
      <w:bookmarkEnd w:id="100"/>
      <w:bookmarkEnd w:id="101"/>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（投标人名称）系中华人民共和国合法企业，注册地址：。我方就参加本次投标有关事项郑重声明如下：</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一、我方完全理解并接受该项目招标文件所有要求。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二、我方提交的所有投标文件、资料都是准确和真实的，如有虚假或隐瞒，我方愿意承担一切法律责任。</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三、我方承诺按照招标文件要求，提供招标项目的技术服务。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四、我方按招标文件要求提交的投标文件为：投标文件正本1份，副本</w:t>
      </w:r>
      <w:r>
        <w:rPr>
          <w:rFonts w:hint="eastAsia" w:ascii="方正仿宋_GBK" w:hAnsi="宋体" w:eastAsia="方正仿宋_GBK"/>
          <w:color w:val="FF0000"/>
          <w:sz w:val="24"/>
          <w:szCs w:val="24"/>
          <w:u w:val="single"/>
        </w:rPr>
        <w:t xml:space="preserve">2 </w:t>
      </w:r>
      <w:r>
        <w:rPr>
          <w:rFonts w:hint="eastAsia" w:ascii="方正仿宋_GBK" w:hAnsi="宋体" w:eastAsia="方正仿宋_GBK"/>
          <w:sz w:val="24"/>
          <w:szCs w:val="24"/>
        </w:rPr>
        <w:t>份，电子文档  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五、我方承诺：本次投标的投标有效期为90天。</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六、我方投标报价为闭口价。即在投标有效期和合同有效期内，该报价固定不变。</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七、如果我方中标，我方将履行招标文件中规定的各项要求以及我方投标文件的各项承诺，按《政府采购法》、《民法典》及合同约定条款承担我方责任。</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八、我方未为采购项目提供整体设计、规范编制或者项目管理、监理、检测等服务。</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九、我方理解，最低报价不是中标的唯一条件。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十、我方同意按有关规定及招标文件要求，缴纳足额投标保证金。</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十一、若我方中标，愿意按有关规定及招标文件要求缴纳招标代理服务费和交易服务费。</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pPr>
        <w:spacing w:line="480" w:lineRule="exact"/>
        <w:ind w:firstLine="480" w:firstLineChars="200"/>
        <w:jc w:val="right"/>
        <w:rPr>
          <w:rFonts w:ascii="方正仿宋_GBK" w:hAnsi="宋体" w:eastAsia="方正仿宋_GBK"/>
          <w:sz w:val="24"/>
          <w:szCs w:val="24"/>
        </w:rPr>
      </w:pP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    月   日</w:t>
      </w: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44"/>
        </w:rPr>
        <w:br w:type="page"/>
      </w:r>
      <w:r>
        <w:rPr>
          <w:rFonts w:hint="eastAsia" w:ascii="方正仿宋_GBK" w:hAnsi="宋体" w:eastAsia="方正仿宋_GBK"/>
          <w:sz w:val="24"/>
          <w:szCs w:val="24"/>
        </w:rPr>
        <w:t>（二）商务条款差异表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序号</w:t>
            </w: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招标商务要求</w:t>
            </w: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投标商务应答</w:t>
            </w: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r>
              <w:rPr>
                <w:rFonts w:hint="eastAsia" w:ascii="方正仿宋_GBK" w:hAnsi="仿宋" w:eastAsia="方正仿宋_GBK"/>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42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2520"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c>
          <w:tcPr>
            <w:tcW w:w="1888" w:type="dxa"/>
            <w:vAlign w:val="center"/>
          </w:tcPr>
          <w:p>
            <w:pPr>
              <w:tabs>
                <w:tab w:val="left" w:pos="6300"/>
              </w:tabs>
              <w:snapToGrid w:val="0"/>
              <w:spacing w:line="500" w:lineRule="exact"/>
              <w:jc w:val="center"/>
              <w:outlineLvl w:val="0"/>
              <w:rPr>
                <w:rFonts w:ascii="方正仿宋_GBK" w:hAnsi="仿宋" w:eastAsia="方正仿宋_GBK"/>
                <w:sz w:val="24"/>
                <w:szCs w:val="24"/>
              </w:rPr>
            </w:pPr>
          </w:p>
        </w:tc>
      </w:tr>
    </w:tbl>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                            法定代表人或法定代表人授权代表：</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                               （签字或盖章）</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1.本表即为对本项目“第三篇 项目商务要求”中所列商务条款进行比较和响应；</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2.该表必须按照招标文件要求逐条如实填写，根据投标情况在“差异说明”项填写正偏离或负偏离及原因，完全符合的填写“无差异”。</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w:t>
      </w: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szCs w:val="28"/>
        </w:rPr>
        <w:br w:type="page"/>
      </w:r>
      <w:r>
        <w:rPr>
          <w:rFonts w:hint="eastAsia" w:ascii="方正仿宋_GBK" w:hAnsi="宋体" w:eastAsia="方正仿宋_GBK"/>
          <w:sz w:val="24"/>
          <w:szCs w:val="24"/>
        </w:rPr>
        <w:t>（三）商务承诺（包括但不限于）：</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1.质保期；</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2.售后服务能力情况；</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3.履约能力证明文件。</w:t>
      </w:r>
    </w:p>
    <w:p>
      <w:pPr>
        <w:spacing w:line="480" w:lineRule="exact"/>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4.售后服务承诺（格式自定）</w:t>
      </w:r>
    </w:p>
    <w:p>
      <w:pPr>
        <w:pStyle w:val="4"/>
        <w:spacing w:before="0" w:after="0" w:line="400" w:lineRule="exact"/>
        <w:rPr>
          <w:rFonts w:ascii="方正仿宋_GBK" w:hAnsi="宋体" w:eastAsia="方正仿宋_GBK"/>
          <w:sz w:val="24"/>
          <w:szCs w:val="24"/>
        </w:rPr>
      </w:pPr>
      <w:bookmarkStart w:id="102" w:name="_Toc492721041"/>
      <w:bookmarkStart w:id="103" w:name="_Toc493178792"/>
      <w:bookmarkStart w:id="104" w:name="_Toc527022024"/>
      <w:bookmarkStart w:id="105" w:name="_Toc42600970"/>
      <w:r>
        <w:rPr>
          <w:rFonts w:hint="eastAsia" w:ascii="方正仿宋_GBK" w:hAnsi="宋体" w:eastAsia="方正仿宋_GBK"/>
          <w:sz w:val="24"/>
          <w:szCs w:val="24"/>
        </w:rPr>
        <w:t>四、其他</w:t>
      </w:r>
      <w:bookmarkEnd w:id="102"/>
      <w:bookmarkEnd w:id="103"/>
      <w:bookmarkEnd w:id="104"/>
      <w:bookmarkEnd w:id="105"/>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（一）投标人小微企业认定证明、小微企业声明函、监狱企业证明文件、残疾人福利性单位声明函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以下证明文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1.1企业所在地的县级以上中小企业主管部门本年度出具的认定证明文件。（参考格式见附表1，提供复印件）； </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1.2小微企业声明函（按附表2格式填写，格式附后）。</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投标人提供了其他企业制造的货物，且该企业符合《关于印发中小企业划型标准规定的通知》（工信部联企业〔2011〕300号）规定的小型或微型企业的，还须提所涉及其它企业的以下证明文件（若涉及多个制造商的，每个制造商均须出具）。</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2.1该企业所在地的县级以上中小企业主管部门本年度出具的认定文件。（参考格式见附表1，提供复印件）；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2.2小微企业声明函（格式参照附表2）。</w:t>
      </w: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附表1：</w:t>
      </w:r>
    </w:p>
    <w:p>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（小型或者微型）企业认定证明</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（被认定企业名称）：</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业和信息化部、国家统计局、国家发展和改革委员会、财政部《关于印发中小企业划型标准规定的通知》（工信部联企业〔2011〕300号）规定的划型标准，认定你企业为（行业类别）行业的（请填写：小型、微型）企业。</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5280" w:firstLineChars="2200"/>
        <w:rPr>
          <w:rFonts w:ascii="方正仿宋_GBK" w:hAnsi="宋体" w:eastAsia="方正仿宋_GBK"/>
          <w:sz w:val="24"/>
          <w:szCs w:val="24"/>
        </w:rPr>
      </w:pPr>
      <w:r>
        <w:rPr>
          <w:rFonts w:hint="eastAsia" w:ascii="方正仿宋_GBK" w:hAnsi="宋体" w:eastAsia="方正仿宋_GBK"/>
          <w:sz w:val="24"/>
          <w:szCs w:val="24"/>
        </w:rPr>
        <w:t>认定单位（盖章）：</w:t>
      </w:r>
    </w:p>
    <w:p>
      <w:pPr>
        <w:spacing w:line="480" w:lineRule="exact"/>
        <w:ind w:firstLine="5280" w:firstLineChars="2200"/>
        <w:rPr>
          <w:rFonts w:ascii="方正仿宋_GBK" w:hAnsi="宋体" w:eastAsia="方正仿宋_GBK"/>
          <w:sz w:val="24"/>
          <w:szCs w:val="24"/>
        </w:rPr>
      </w:pPr>
      <w:r>
        <w:rPr>
          <w:rFonts w:hint="eastAsia" w:ascii="方正仿宋_GBK" w:hAnsi="宋体" w:eastAsia="方正仿宋_GBK"/>
          <w:sz w:val="24"/>
          <w:szCs w:val="24"/>
        </w:rPr>
        <w:t>办公电话：</w:t>
      </w:r>
    </w:p>
    <w:p>
      <w:pPr>
        <w:spacing w:line="480" w:lineRule="exact"/>
        <w:ind w:firstLine="5280" w:firstLineChars="2200"/>
        <w:rPr>
          <w:rFonts w:ascii="方正仿宋_GBK" w:hAnsi="宋体" w:eastAsia="方正仿宋_GBK"/>
          <w:sz w:val="24"/>
          <w:szCs w:val="24"/>
        </w:rPr>
      </w:pPr>
      <w:r>
        <w:rPr>
          <w:rFonts w:hint="eastAsia" w:ascii="方正仿宋_GBK" w:hAnsi="宋体" w:eastAsia="方正仿宋_GBK"/>
          <w:sz w:val="24"/>
          <w:szCs w:val="24"/>
        </w:rPr>
        <w:t>认定时间：   年  月  日</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注：政府采购活动中对中小企业的认定，由企业所在地的县级以上中小企业主管部门负责。</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附表2：</w:t>
      </w:r>
    </w:p>
    <w:p>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小微企业声明函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致：（招标人名称）：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本公司郑重声明，根据《政府采购促进中小企业发展暂行办法》（财库</w:t>
      </w:r>
      <w:r>
        <w:rPr>
          <w:rFonts w:ascii="方正仿宋_GBK" w:hAnsi="宋体" w:eastAsia="方正仿宋_GBK"/>
          <w:sz w:val="24"/>
          <w:szCs w:val="24"/>
        </w:rPr>
        <w:t>〔2011〕181</w:t>
      </w:r>
      <w:r>
        <w:rPr>
          <w:rFonts w:hint="eastAsia" w:ascii="方正仿宋_GBK" w:hAnsi="宋体" w:eastAsia="方正仿宋_GBK"/>
          <w:sz w:val="24"/>
          <w:szCs w:val="24"/>
        </w:rPr>
        <w:t>号）的规定。本公司为（请填写：小型、微型）企业。即，本公司同时满足以下条件：</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.根据《工业和信息化部、国家统计局、国家发展和改革委员会、财政部关于印发中小企业划型标准规定的通知》（工信部联企业</w:t>
      </w:r>
      <w:r>
        <w:rPr>
          <w:rFonts w:ascii="方正仿宋_GBK" w:hAnsi="宋体" w:eastAsia="方正仿宋_GBK"/>
          <w:sz w:val="24"/>
          <w:szCs w:val="24"/>
        </w:rPr>
        <w:t>〔2011〕300</w:t>
      </w:r>
      <w:r>
        <w:rPr>
          <w:rFonts w:hint="eastAsia" w:ascii="方正仿宋_GBK" w:hAnsi="宋体" w:eastAsia="方正仿宋_GBK"/>
          <w:sz w:val="24"/>
          <w:szCs w:val="24"/>
        </w:rPr>
        <w:t>号）规定的划分标准，本公司为        行业（行业类别）的（请填写：小型、微型）企业。</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本公司参加本项目提供本企业制造的货物、承担的工程或者服务，或者提供其它小微企业制造的货物。本项目采购的货物、工程或者服务（请填写：“全部由我公司提供”、“部分由我公司提供”、或“全部不是我公司提供”）。本条所称货物不包括使用大中型企业注册商标的货物。</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企业基本情况表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873"/>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28" w:type="dxa"/>
            <w:vAlign w:val="center"/>
          </w:tcPr>
          <w:p>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873" w:type="dxa"/>
            <w:vAlign w:val="center"/>
          </w:tcPr>
          <w:p>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从业人员（名）</w:t>
            </w:r>
          </w:p>
        </w:tc>
        <w:tc>
          <w:tcPr>
            <w:tcW w:w="3345" w:type="dxa"/>
            <w:vAlign w:val="center"/>
          </w:tcPr>
          <w:p>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28" w:type="dxa"/>
            <w:vAlign w:val="center"/>
          </w:tcPr>
          <w:p>
            <w:pPr>
              <w:spacing w:line="480" w:lineRule="exact"/>
              <w:jc w:val="center"/>
              <w:rPr>
                <w:rFonts w:ascii="方正仿宋_GBK" w:hAnsi="宋体" w:eastAsia="方正仿宋_GBK"/>
                <w:sz w:val="24"/>
                <w:szCs w:val="24"/>
              </w:rPr>
            </w:pPr>
          </w:p>
        </w:tc>
        <w:tc>
          <w:tcPr>
            <w:tcW w:w="2873" w:type="dxa"/>
            <w:vAlign w:val="center"/>
          </w:tcPr>
          <w:p>
            <w:pPr>
              <w:spacing w:line="480" w:lineRule="exact"/>
              <w:jc w:val="center"/>
              <w:rPr>
                <w:rFonts w:ascii="方正仿宋_GBK" w:hAnsi="宋体" w:eastAsia="方正仿宋_GBK"/>
                <w:sz w:val="24"/>
                <w:szCs w:val="24"/>
              </w:rPr>
            </w:pPr>
          </w:p>
        </w:tc>
        <w:tc>
          <w:tcPr>
            <w:tcW w:w="3345" w:type="dxa"/>
            <w:vAlign w:val="center"/>
          </w:tcPr>
          <w:p>
            <w:pPr>
              <w:spacing w:line="480" w:lineRule="exact"/>
              <w:jc w:val="center"/>
              <w:rPr>
                <w:rFonts w:ascii="方正仿宋_GBK" w:hAnsi="宋体" w:eastAsia="方正仿宋_GBK"/>
                <w:sz w:val="24"/>
                <w:szCs w:val="24"/>
              </w:rPr>
            </w:pPr>
          </w:p>
        </w:tc>
      </w:tr>
    </w:tbl>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本公司对上述声明的真实性负责。如有虚假，将依法承担相应责任。</w:t>
      </w:r>
    </w:p>
    <w:p>
      <w:pPr>
        <w:spacing w:line="480" w:lineRule="exact"/>
        <w:ind w:firstLine="480" w:firstLineChars="200"/>
        <w:rPr>
          <w:rFonts w:ascii="方正仿宋_GBK" w:hAnsi="宋体" w:eastAsia="方正仿宋_GBK"/>
          <w:sz w:val="24"/>
          <w:szCs w:val="24"/>
        </w:rPr>
      </w:pPr>
    </w:p>
    <w:p>
      <w:pPr>
        <w:spacing w:line="480" w:lineRule="exact"/>
        <w:ind w:firstLine="4560" w:firstLineChars="1900"/>
        <w:rPr>
          <w:rFonts w:ascii="方正仿宋_GBK" w:hAnsi="宋体" w:eastAsia="方正仿宋_GBK"/>
          <w:sz w:val="24"/>
          <w:szCs w:val="24"/>
        </w:rPr>
      </w:pPr>
      <w:r>
        <w:rPr>
          <w:rFonts w:hint="eastAsia" w:ascii="方正仿宋_GBK" w:hAnsi="宋体" w:eastAsia="方正仿宋_GBK"/>
          <w:sz w:val="24"/>
          <w:szCs w:val="24"/>
        </w:rPr>
        <w:t>投标人名称（公章）：</w:t>
      </w: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填写《企业基本情况表》时，应注意以下事项：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1.除建筑业、房地产开发经营、租赁和商务服务业等三个行业外，其余行业无需填写资产总额项；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2.农、林、牧、渔业无需填写从业人员和资产总额项。</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人填写本函第2条若是填写“部分由我公司制造”或“全部不是我公司制造”的，还需提供所涉及的其它企业的《小微企业声明函》，否是视为投标人提供非小微企业的货物、工程或服务。所涉及的其它企业填写《小微企业声明函》时可不填写第2条。</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3.监狱企业证明文件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以省级以上监狱管理局、戒毒管理局（含新疆生产建设兵团）出具的属于监狱企业的证明文件为准。</w:t>
      </w:r>
      <w:r>
        <w:rPr>
          <w:rFonts w:hint="eastAsia" w:ascii="方正仿宋_GBK" w:hAnsi="仿宋" w:eastAsia="方正仿宋_GBK"/>
        </w:rPr>
        <w:br w:type="page"/>
      </w:r>
      <w:r>
        <w:rPr>
          <w:rFonts w:hint="eastAsia" w:ascii="方正仿宋_GBK" w:hAnsi="宋体" w:eastAsia="方正仿宋_GBK"/>
          <w:sz w:val="24"/>
          <w:szCs w:val="24"/>
        </w:rPr>
        <w:t>4.残疾人福利性单位声明函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残疾人福利性单位声明函</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本单位对上述声明的真实性负责。如有虚假，将依法承担相应责任。</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投标人名称（盖章）：</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日  期：</w:t>
      </w:r>
    </w:p>
    <w:p>
      <w:pPr>
        <w:spacing w:line="480" w:lineRule="exact"/>
        <w:ind w:firstLine="56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仿宋" w:eastAsia="方正仿宋_GBK"/>
        </w:rPr>
        <w:br w:type="page"/>
      </w:r>
      <w:r>
        <w:rPr>
          <w:rFonts w:hint="eastAsia" w:ascii="方正仿宋_GBK" w:hAnsi="宋体" w:eastAsia="方正仿宋_GBK"/>
          <w:sz w:val="24"/>
          <w:szCs w:val="24"/>
        </w:rPr>
        <w:t>（二）其他与项目有关的资料（自附）</w:t>
      </w:r>
    </w:p>
    <w:p>
      <w:pPr>
        <w:pStyle w:val="4"/>
        <w:spacing w:before="0" w:after="0" w:line="400" w:lineRule="exact"/>
        <w:rPr>
          <w:rFonts w:ascii="方正仿宋_GBK" w:hAnsi="宋体" w:eastAsia="方正仿宋_GBK"/>
          <w:sz w:val="24"/>
          <w:szCs w:val="24"/>
        </w:rPr>
      </w:pPr>
      <w:bookmarkStart w:id="106" w:name="_Toc492721038"/>
      <w:bookmarkStart w:id="107" w:name="_Toc42600971"/>
      <w:bookmarkStart w:id="108" w:name="_Toc493178793"/>
      <w:bookmarkStart w:id="109" w:name="_Toc527022025"/>
      <w:r>
        <w:rPr>
          <w:rFonts w:hint="eastAsia" w:ascii="方正仿宋_GBK" w:hAnsi="宋体" w:eastAsia="方正仿宋_GBK"/>
          <w:sz w:val="24"/>
          <w:szCs w:val="24"/>
        </w:rPr>
        <w:t>五、资格文件</w:t>
      </w:r>
      <w:bookmarkEnd w:id="106"/>
      <w:bookmarkEnd w:id="107"/>
      <w:bookmarkEnd w:id="108"/>
      <w:bookmarkEnd w:id="109"/>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（三）法定代表人身份证明书（格式）</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（法定代表人姓名）在（投标人名称）任（职务名称）职务，是（投标人名称）的法定代表人。</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特此证明。</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（投标人公章）</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（附：法定代表人身份证正反面复印件）</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4"/>
        </w:rPr>
        <w:t>（四）法定代表人授权委托书（格式）</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招标项目名称：</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（投标人法定代表人名称）是（投标人名称）的法定代表人，特授权（被授权人姓名及身份证代码）代表我单位全权办理上述项目的投标、谈判、签约等具体工作，并签署全部有关文件、协议及合同。</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在撤消授权的书面通知以前，本授权书一直有效。被授权人在授权书有效期内签署的所有文件不因授权的撤消而失效。</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投标人法定代表人：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（签字或盖章）                                （签字或盖章）</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（附：被授权人身份证正反面复印件）</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   月   日</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1.若为法定代表人办理并签署投标文件的，不提供此文件。</w:t>
      </w:r>
    </w:p>
    <w:p>
      <w:pPr>
        <w:spacing w:line="480" w:lineRule="exact"/>
        <w:ind w:firstLine="480" w:firstLineChars="200"/>
        <w:rPr>
          <w:rFonts w:ascii="方正仿宋_GBK" w:hAnsi="仿宋" w:eastAsia="方正仿宋_GBK"/>
          <w:sz w:val="24"/>
        </w:rPr>
      </w:pPr>
      <w:r>
        <w:rPr>
          <w:rFonts w:hint="eastAsia" w:ascii="方正仿宋_GBK" w:hAnsi="宋体" w:eastAsia="方正仿宋_GBK"/>
          <w:sz w:val="24"/>
          <w:szCs w:val="24"/>
        </w:rPr>
        <w:t>2.若为联合体投标的，法定代表人授权委托书由联合体主办方（主体）出具。</w:t>
      </w: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column"/>
      </w:r>
      <w:r>
        <w:rPr>
          <w:rFonts w:hint="eastAsia" w:ascii="方正仿宋_GBK" w:hAnsi="宋体" w:eastAsia="方正仿宋_GBK"/>
          <w:sz w:val="24"/>
          <w:szCs w:val="24"/>
        </w:rPr>
        <w:t>（五）2022年度及近三个月财务状况报告（表）和其基本开户银行出具的资信证明复印件，本年度新成立或成立不满一年的组织和自然人无法提供财务状况报告（表）的，可提供银行出具的资信证明复印件。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（六）书面声明</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招标项目名称：                                                </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致：（采购代理机构名称）：</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特此声明。</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（投标人公章）</w:t>
      </w:r>
    </w:p>
    <w:p>
      <w:pPr>
        <w:spacing w:line="480" w:lineRule="exact"/>
        <w:ind w:firstLine="480" w:firstLineChars="200"/>
        <w:jc w:val="right"/>
        <w:rPr>
          <w:rFonts w:ascii="方正仿宋_GBK" w:hAnsi="宋体" w:eastAsia="方正仿宋_GBK"/>
          <w:sz w:val="24"/>
          <w:szCs w:val="24"/>
        </w:rPr>
      </w:pPr>
      <w:r>
        <w:rPr>
          <w:rFonts w:hint="eastAsia" w:ascii="方正仿宋_GBK" w:hAnsi="宋体" w:eastAsia="方正仿宋_GBK"/>
          <w:sz w:val="24"/>
          <w:szCs w:val="24"/>
        </w:rPr>
        <w:t>年   月   日</w:t>
      </w:r>
    </w:p>
    <w:p>
      <w:pPr>
        <w:spacing w:line="480" w:lineRule="exact"/>
        <w:ind w:firstLine="480" w:firstLineChars="200"/>
        <w:rPr>
          <w:rFonts w:ascii="方正仿宋_GBK" w:hAnsi="宋体" w:eastAsia="方正仿宋_GBK"/>
          <w:sz w:val="24"/>
          <w:szCs w:val="24"/>
        </w:rPr>
      </w:pPr>
    </w:p>
    <w:p>
      <w:pPr>
        <w:spacing w:line="480" w:lineRule="exact"/>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（七）税务登记证（副本）复印件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说明：投标人按“多证合一”登记制度办理营业执照的，组织机构代码证、税务登记证（副本）和社会保险登记证以投标人所提供的营业执照（副本）复印件为准。</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（九）特定资格条件证书或证明文件</w:t>
      </w: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ind w:firstLine="480" w:firstLineChars="200"/>
        <w:rPr>
          <w:rFonts w:ascii="方正仿宋_GBK" w:hAnsi="宋体" w:eastAsia="方正仿宋_GBK"/>
          <w:sz w:val="24"/>
          <w:szCs w:val="24"/>
        </w:rPr>
      </w:pPr>
    </w:p>
    <w:p>
      <w:pPr>
        <w:spacing w:line="480" w:lineRule="exact"/>
        <w:jc w:val="center"/>
        <w:rPr>
          <w:rFonts w:ascii="方正仿宋_GBK" w:hAnsi="宋体" w:eastAsia="方正仿宋_GBK"/>
          <w:sz w:val="24"/>
          <w:szCs w:val="24"/>
        </w:rPr>
      </w:pPr>
      <w:r>
        <w:rPr>
          <w:rFonts w:hint="eastAsia" w:ascii="方正仿宋_GBK" w:hAnsi="宋体" w:eastAsia="方正仿宋_GBK"/>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D0EEF-248E-4A11-B21D-A1594F2921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C97339A-AF15-4E26-ABB3-E055D0607CEB}"/>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7ADD7DAA-67A5-4D14-B312-E2926F58159E}"/>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5E92065D-A912-4FF2-9F89-3B107B693BA8}"/>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5" w:fontKey="{B2AF253E-C1AB-40A9-A5DA-17C235DD6379}"/>
  </w:font>
  <w:font w:name="方正小标宋_GBK">
    <w:panose1 w:val="03000509000000000000"/>
    <w:charset w:val="86"/>
    <w:family w:val="script"/>
    <w:pitch w:val="default"/>
    <w:sig w:usb0="00000001" w:usb1="080E0000" w:usb2="00000000" w:usb3="00000000" w:csb0="00040000" w:csb1="00000000"/>
    <w:embedRegular r:id="rId6" w:fontKey="{BE71276A-EB73-4C39-B899-51B76ACCAD74}"/>
  </w:font>
  <w:font w:name="方正仿宋_GBK">
    <w:panose1 w:val="03000509000000000000"/>
    <w:charset w:val="86"/>
    <w:family w:val="script"/>
    <w:pitch w:val="default"/>
    <w:sig w:usb0="00000001" w:usb1="080E0000" w:usb2="00000000" w:usb3="00000000" w:csb0="00040000" w:csb1="00000000"/>
    <w:embedRegular r:id="rId7" w:fontKey="{0512C38B-D940-47CA-8D92-FA614B70740C}"/>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- 52 -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重庆海联职业技术学院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pStyle w:val="1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3"/>
    <w:multiLevelType w:val="multilevel"/>
    <w:tmpl w:val="00000003"/>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singleLevel"/>
    <w:tmpl w:val="00000004"/>
    <w:lvl w:ilvl="0" w:tentative="0">
      <w:start w:val="1"/>
      <w:numFmt w:val="bullet"/>
      <w:pStyle w:val="109"/>
      <w:lvlText w:val=""/>
      <w:lvlJc w:val="left"/>
      <w:pPr>
        <w:tabs>
          <w:tab w:val="left" w:pos="360"/>
        </w:tabs>
        <w:ind w:left="360" w:hanging="360"/>
      </w:pPr>
      <w:rPr>
        <w:rFonts w:hint="default" w:ascii="Wingdings" w:hAnsi="Wingdings"/>
      </w:rPr>
    </w:lvl>
  </w:abstractNum>
  <w:abstractNum w:abstractNumId="3">
    <w:nsid w:val="00000005"/>
    <w:multiLevelType w:val="singleLevel"/>
    <w:tmpl w:val="00000005"/>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6"/>
    <w:multiLevelType w:val="multilevel"/>
    <w:tmpl w:val="00000006"/>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8"/>
    <w:multiLevelType w:val="multilevel"/>
    <w:tmpl w:val="00000008"/>
    <w:lvl w:ilvl="0" w:tentative="0">
      <w:start w:val="1"/>
      <w:numFmt w:val="decimal"/>
      <w:pStyle w:val="2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bullet"/>
      <w:pStyle w:val="1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A"/>
    <w:multiLevelType w:val="singleLevel"/>
    <w:tmpl w:val="0000000A"/>
    <w:lvl w:ilvl="0" w:tentative="0">
      <w:start w:val="1"/>
      <w:numFmt w:val="decimal"/>
      <w:pStyle w:val="13"/>
      <w:lvlText w:val="%1."/>
      <w:lvlJc w:val="left"/>
      <w:pPr>
        <w:tabs>
          <w:tab w:val="left" w:pos="425"/>
        </w:tabs>
        <w:ind w:left="425" w:hanging="425"/>
      </w:pPr>
      <w:rPr>
        <w:rFonts w:hint="default"/>
      </w:rPr>
    </w:lvl>
  </w:abstractNum>
  <w:abstractNum w:abstractNumId="8">
    <w:nsid w:val="0000000B"/>
    <w:multiLevelType w:val="singleLevel"/>
    <w:tmpl w:val="0000000B"/>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0C"/>
    <w:multiLevelType w:val="singleLevel"/>
    <w:tmpl w:val="0000000C"/>
    <w:lvl w:ilvl="0" w:tentative="0">
      <w:start w:val="1"/>
      <w:numFmt w:val="decimal"/>
      <w:pStyle w:val="181"/>
      <w:lvlText w:val="%1)"/>
      <w:lvlJc w:val="left"/>
      <w:pPr>
        <w:tabs>
          <w:tab w:val="left" w:pos="425"/>
        </w:tabs>
        <w:ind w:left="425" w:hanging="425"/>
      </w:pPr>
      <w:rPr>
        <w:rFonts w:hint="eastAsia"/>
      </w:rPr>
    </w:lvl>
  </w:abstractNum>
  <w:abstractNum w:abstractNumId="10">
    <w:nsid w:val="0000000D"/>
    <w:multiLevelType w:val="multilevel"/>
    <w:tmpl w:val="0000000D"/>
    <w:lvl w:ilvl="0" w:tentative="0">
      <w:start w:val="1"/>
      <w:numFmt w:val="chineseCountingThousand"/>
      <w:pStyle w:val="11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3"/>
      <w:numFmt w:val="chineseCounting"/>
      <w:suff w:val="space"/>
      <w:lvlText w:val="第%1篇"/>
      <w:lvlJc w:val="left"/>
      <w:rPr>
        <w:rFonts w:hint="eastAsia"/>
      </w:rPr>
    </w:lvl>
  </w:abstractNum>
  <w:abstractNum w:abstractNumId="12">
    <w:nsid w:val="64902A1D"/>
    <w:multiLevelType w:val="singleLevel"/>
    <w:tmpl w:val="64902A1D"/>
    <w:lvl w:ilvl="0" w:tentative="0">
      <w:start w:val="1"/>
      <w:numFmt w:val="decimal"/>
      <w:suff w:val="nothing"/>
      <w:lvlText w:val="%1、"/>
      <w:lvlJc w:val="left"/>
    </w:lvl>
  </w:abstractNum>
  <w:num w:numId="1">
    <w:abstractNumId w:val="7"/>
  </w:num>
  <w:num w:numId="2">
    <w:abstractNumId w:val="3"/>
  </w:num>
  <w:num w:numId="3">
    <w:abstractNumId w:val="8"/>
  </w:num>
  <w:num w:numId="4">
    <w:abstractNumId w:val="2"/>
  </w:num>
  <w:num w:numId="5">
    <w:abstractNumId w:val="10"/>
  </w:num>
  <w:num w:numId="6">
    <w:abstractNumId w:val="0"/>
  </w:num>
  <w:num w:numId="7">
    <w:abstractNumId w:val="9"/>
  </w:num>
  <w:num w:numId="8">
    <w:abstractNumId w:val="1"/>
  </w:num>
  <w:num w:numId="9">
    <w:abstractNumId w:val="6"/>
  </w:num>
  <w:num w:numId="10">
    <w:abstractNumId w:val="4"/>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Yzk1NDJmNmVmOGVlMmU3NDY3ZTI3YjRlODFmMWUifQ=="/>
  </w:docVars>
  <w:rsids>
    <w:rsidRoot w:val="00807533"/>
    <w:rsid w:val="000056CA"/>
    <w:rsid w:val="0001036D"/>
    <w:rsid w:val="0002516E"/>
    <w:rsid w:val="00063096"/>
    <w:rsid w:val="000644BD"/>
    <w:rsid w:val="0006654B"/>
    <w:rsid w:val="000756F9"/>
    <w:rsid w:val="00087B9D"/>
    <w:rsid w:val="0009702A"/>
    <w:rsid w:val="000A08C4"/>
    <w:rsid w:val="000A53FD"/>
    <w:rsid w:val="000C3D2F"/>
    <w:rsid w:val="000D5B2C"/>
    <w:rsid w:val="000F0312"/>
    <w:rsid w:val="001106AC"/>
    <w:rsid w:val="00113F04"/>
    <w:rsid w:val="00170AF4"/>
    <w:rsid w:val="00197B4C"/>
    <w:rsid w:val="001A6FF9"/>
    <w:rsid w:val="001B09DF"/>
    <w:rsid w:val="001C213D"/>
    <w:rsid w:val="001D35C0"/>
    <w:rsid w:val="001D72A4"/>
    <w:rsid w:val="001F01A9"/>
    <w:rsid w:val="001F0A82"/>
    <w:rsid w:val="002111B3"/>
    <w:rsid w:val="002174D7"/>
    <w:rsid w:val="002575FC"/>
    <w:rsid w:val="00275964"/>
    <w:rsid w:val="00287631"/>
    <w:rsid w:val="00294BBF"/>
    <w:rsid w:val="002B0A5E"/>
    <w:rsid w:val="002B56B9"/>
    <w:rsid w:val="002C274E"/>
    <w:rsid w:val="002F0363"/>
    <w:rsid w:val="003345BA"/>
    <w:rsid w:val="003724EA"/>
    <w:rsid w:val="003A1592"/>
    <w:rsid w:val="003A47C4"/>
    <w:rsid w:val="003B6584"/>
    <w:rsid w:val="003C270D"/>
    <w:rsid w:val="003D2FF8"/>
    <w:rsid w:val="003F5501"/>
    <w:rsid w:val="00433E2A"/>
    <w:rsid w:val="00463CA1"/>
    <w:rsid w:val="004652B3"/>
    <w:rsid w:val="004746F0"/>
    <w:rsid w:val="0047558E"/>
    <w:rsid w:val="004836AB"/>
    <w:rsid w:val="00497ECE"/>
    <w:rsid w:val="004A0F3D"/>
    <w:rsid w:val="004B6245"/>
    <w:rsid w:val="004C4C9E"/>
    <w:rsid w:val="004F338B"/>
    <w:rsid w:val="004F3F9A"/>
    <w:rsid w:val="004F4F7C"/>
    <w:rsid w:val="005000BB"/>
    <w:rsid w:val="0050485F"/>
    <w:rsid w:val="00520BED"/>
    <w:rsid w:val="005A48FC"/>
    <w:rsid w:val="005B3408"/>
    <w:rsid w:val="005D31CB"/>
    <w:rsid w:val="005F1EA0"/>
    <w:rsid w:val="005F52E1"/>
    <w:rsid w:val="006116B4"/>
    <w:rsid w:val="00624A6B"/>
    <w:rsid w:val="00656954"/>
    <w:rsid w:val="00664E10"/>
    <w:rsid w:val="00666845"/>
    <w:rsid w:val="0069491F"/>
    <w:rsid w:val="00694F8F"/>
    <w:rsid w:val="006C10AC"/>
    <w:rsid w:val="006C7DEA"/>
    <w:rsid w:val="006E4154"/>
    <w:rsid w:val="006F2AFA"/>
    <w:rsid w:val="00713141"/>
    <w:rsid w:val="00713F07"/>
    <w:rsid w:val="007246D6"/>
    <w:rsid w:val="00730B65"/>
    <w:rsid w:val="007343F9"/>
    <w:rsid w:val="007501BF"/>
    <w:rsid w:val="0076373F"/>
    <w:rsid w:val="00773EF7"/>
    <w:rsid w:val="00782E4E"/>
    <w:rsid w:val="00794564"/>
    <w:rsid w:val="007B2669"/>
    <w:rsid w:val="007E1060"/>
    <w:rsid w:val="007F449E"/>
    <w:rsid w:val="00805ECF"/>
    <w:rsid w:val="00807533"/>
    <w:rsid w:val="00817E30"/>
    <w:rsid w:val="00821E3B"/>
    <w:rsid w:val="00825CE0"/>
    <w:rsid w:val="00853EAF"/>
    <w:rsid w:val="00882A18"/>
    <w:rsid w:val="00884F5E"/>
    <w:rsid w:val="008A4637"/>
    <w:rsid w:val="008C0E3E"/>
    <w:rsid w:val="008C2D70"/>
    <w:rsid w:val="008E02BD"/>
    <w:rsid w:val="008E03C6"/>
    <w:rsid w:val="008E07ED"/>
    <w:rsid w:val="008E59B1"/>
    <w:rsid w:val="008F1274"/>
    <w:rsid w:val="008F2DFA"/>
    <w:rsid w:val="00903A8B"/>
    <w:rsid w:val="00905A26"/>
    <w:rsid w:val="00916F69"/>
    <w:rsid w:val="00924D91"/>
    <w:rsid w:val="0095715C"/>
    <w:rsid w:val="009709E8"/>
    <w:rsid w:val="00976C3F"/>
    <w:rsid w:val="009865F3"/>
    <w:rsid w:val="009972CC"/>
    <w:rsid w:val="009A120E"/>
    <w:rsid w:val="009D7C29"/>
    <w:rsid w:val="009F759A"/>
    <w:rsid w:val="00A04444"/>
    <w:rsid w:val="00A06DF0"/>
    <w:rsid w:val="00A2484B"/>
    <w:rsid w:val="00A42500"/>
    <w:rsid w:val="00A4577E"/>
    <w:rsid w:val="00A71E6D"/>
    <w:rsid w:val="00A73A1D"/>
    <w:rsid w:val="00A96509"/>
    <w:rsid w:val="00AC494E"/>
    <w:rsid w:val="00AD2009"/>
    <w:rsid w:val="00AE6665"/>
    <w:rsid w:val="00B04F4B"/>
    <w:rsid w:val="00B07E36"/>
    <w:rsid w:val="00B22E3F"/>
    <w:rsid w:val="00B308DE"/>
    <w:rsid w:val="00B72C4C"/>
    <w:rsid w:val="00B876FA"/>
    <w:rsid w:val="00B90B75"/>
    <w:rsid w:val="00B931BE"/>
    <w:rsid w:val="00BA0FA0"/>
    <w:rsid w:val="00BA7BDA"/>
    <w:rsid w:val="00BB5BD4"/>
    <w:rsid w:val="00BC50D7"/>
    <w:rsid w:val="00BF27A2"/>
    <w:rsid w:val="00BF29BF"/>
    <w:rsid w:val="00C04E5D"/>
    <w:rsid w:val="00C07194"/>
    <w:rsid w:val="00C12B54"/>
    <w:rsid w:val="00C43F2A"/>
    <w:rsid w:val="00C65E7C"/>
    <w:rsid w:val="00C818D3"/>
    <w:rsid w:val="00CB08B3"/>
    <w:rsid w:val="00CB30E1"/>
    <w:rsid w:val="00CB48D4"/>
    <w:rsid w:val="00CD053C"/>
    <w:rsid w:val="00CF14B3"/>
    <w:rsid w:val="00D24B6A"/>
    <w:rsid w:val="00D30ADE"/>
    <w:rsid w:val="00D43274"/>
    <w:rsid w:val="00D51C00"/>
    <w:rsid w:val="00D61D90"/>
    <w:rsid w:val="00D71718"/>
    <w:rsid w:val="00D7765E"/>
    <w:rsid w:val="00D958F6"/>
    <w:rsid w:val="00D97CC0"/>
    <w:rsid w:val="00DB2033"/>
    <w:rsid w:val="00DD4930"/>
    <w:rsid w:val="00DF32BD"/>
    <w:rsid w:val="00E0192E"/>
    <w:rsid w:val="00E01FCE"/>
    <w:rsid w:val="00E241ED"/>
    <w:rsid w:val="00E33105"/>
    <w:rsid w:val="00E37757"/>
    <w:rsid w:val="00E54462"/>
    <w:rsid w:val="00E560FC"/>
    <w:rsid w:val="00E57C67"/>
    <w:rsid w:val="00E723B9"/>
    <w:rsid w:val="00E76EAF"/>
    <w:rsid w:val="00E85D6C"/>
    <w:rsid w:val="00ED0D2F"/>
    <w:rsid w:val="00ED155F"/>
    <w:rsid w:val="00ED62FC"/>
    <w:rsid w:val="00EE6CBC"/>
    <w:rsid w:val="00EF5308"/>
    <w:rsid w:val="00F40949"/>
    <w:rsid w:val="00F81FB3"/>
    <w:rsid w:val="00F85C42"/>
    <w:rsid w:val="00FB0D2B"/>
    <w:rsid w:val="00FB20F3"/>
    <w:rsid w:val="00FB500C"/>
    <w:rsid w:val="00FB5FAE"/>
    <w:rsid w:val="00FC3015"/>
    <w:rsid w:val="00FE5AC2"/>
    <w:rsid w:val="00FF0B97"/>
    <w:rsid w:val="01B147FC"/>
    <w:rsid w:val="01B739B2"/>
    <w:rsid w:val="02D30531"/>
    <w:rsid w:val="040D1B33"/>
    <w:rsid w:val="042B4B38"/>
    <w:rsid w:val="042E24FA"/>
    <w:rsid w:val="044A6ADD"/>
    <w:rsid w:val="05FE50E8"/>
    <w:rsid w:val="09905A49"/>
    <w:rsid w:val="09DF0DCA"/>
    <w:rsid w:val="09FD68CD"/>
    <w:rsid w:val="0A323A2A"/>
    <w:rsid w:val="0BF20DB0"/>
    <w:rsid w:val="0C6F1377"/>
    <w:rsid w:val="0C934725"/>
    <w:rsid w:val="0CB12E90"/>
    <w:rsid w:val="0D90040A"/>
    <w:rsid w:val="0F25336B"/>
    <w:rsid w:val="0FBC46DE"/>
    <w:rsid w:val="10B1184A"/>
    <w:rsid w:val="134F4DD4"/>
    <w:rsid w:val="13782A8F"/>
    <w:rsid w:val="13D41B2F"/>
    <w:rsid w:val="141C286A"/>
    <w:rsid w:val="14C27656"/>
    <w:rsid w:val="159D2820"/>
    <w:rsid w:val="15AB0B5D"/>
    <w:rsid w:val="160F79EC"/>
    <w:rsid w:val="18562798"/>
    <w:rsid w:val="19321945"/>
    <w:rsid w:val="19753D0A"/>
    <w:rsid w:val="1A6E69EE"/>
    <w:rsid w:val="1C243E8D"/>
    <w:rsid w:val="1D2F373E"/>
    <w:rsid w:val="1D9C6FAE"/>
    <w:rsid w:val="1DA66887"/>
    <w:rsid w:val="1E1C406F"/>
    <w:rsid w:val="1F6103EA"/>
    <w:rsid w:val="207604D5"/>
    <w:rsid w:val="21A91648"/>
    <w:rsid w:val="221218D1"/>
    <w:rsid w:val="222D44C5"/>
    <w:rsid w:val="231D2F4E"/>
    <w:rsid w:val="232C5A5C"/>
    <w:rsid w:val="23741E95"/>
    <w:rsid w:val="247005AD"/>
    <w:rsid w:val="2478081C"/>
    <w:rsid w:val="25961298"/>
    <w:rsid w:val="263051BC"/>
    <w:rsid w:val="273A4493"/>
    <w:rsid w:val="27F62857"/>
    <w:rsid w:val="28AC5512"/>
    <w:rsid w:val="28C21019"/>
    <w:rsid w:val="2B866709"/>
    <w:rsid w:val="2BB323DD"/>
    <w:rsid w:val="2C566797"/>
    <w:rsid w:val="2C662884"/>
    <w:rsid w:val="2CC7428A"/>
    <w:rsid w:val="2E570FD5"/>
    <w:rsid w:val="2ED72BE1"/>
    <w:rsid w:val="2F6C023B"/>
    <w:rsid w:val="2FFC70BA"/>
    <w:rsid w:val="3084382A"/>
    <w:rsid w:val="318E354F"/>
    <w:rsid w:val="3206502F"/>
    <w:rsid w:val="331027A6"/>
    <w:rsid w:val="3348668F"/>
    <w:rsid w:val="33BA158B"/>
    <w:rsid w:val="34C81DF6"/>
    <w:rsid w:val="34E64B9D"/>
    <w:rsid w:val="355C4A4A"/>
    <w:rsid w:val="359A63FC"/>
    <w:rsid w:val="3634540B"/>
    <w:rsid w:val="364D6B7F"/>
    <w:rsid w:val="36537369"/>
    <w:rsid w:val="397C3FAC"/>
    <w:rsid w:val="3A327338"/>
    <w:rsid w:val="3A8B6797"/>
    <w:rsid w:val="3BBB2CB8"/>
    <w:rsid w:val="3CBB2AA4"/>
    <w:rsid w:val="3D8B0A5D"/>
    <w:rsid w:val="3E891AE3"/>
    <w:rsid w:val="3FB00B58"/>
    <w:rsid w:val="40332EE4"/>
    <w:rsid w:val="42F9041C"/>
    <w:rsid w:val="4336759B"/>
    <w:rsid w:val="43E909BB"/>
    <w:rsid w:val="45E73332"/>
    <w:rsid w:val="47782F3B"/>
    <w:rsid w:val="497172CC"/>
    <w:rsid w:val="497D2937"/>
    <w:rsid w:val="49D410BA"/>
    <w:rsid w:val="4A725D10"/>
    <w:rsid w:val="4AB05689"/>
    <w:rsid w:val="4ADD5BAA"/>
    <w:rsid w:val="4AEB25C3"/>
    <w:rsid w:val="4B10669E"/>
    <w:rsid w:val="4B425E9C"/>
    <w:rsid w:val="4C290279"/>
    <w:rsid w:val="4C541A7D"/>
    <w:rsid w:val="4CC039E1"/>
    <w:rsid w:val="4CCC79E2"/>
    <w:rsid w:val="4D2A38EB"/>
    <w:rsid w:val="4D577FDB"/>
    <w:rsid w:val="4DC52D8E"/>
    <w:rsid w:val="4E2C15F3"/>
    <w:rsid w:val="4E3D5975"/>
    <w:rsid w:val="4E853D63"/>
    <w:rsid w:val="4EB31CF9"/>
    <w:rsid w:val="4EFB4B18"/>
    <w:rsid w:val="4FB10941"/>
    <w:rsid w:val="4FE8045E"/>
    <w:rsid w:val="503C1419"/>
    <w:rsid w:val="503F74B6"/>
    <w:rsid w:val="508F45CE"/>
    <w:rsid w:val="50E76EC5"/>
    <w:rsid w:val="52544B79"/>
    <w:rsid w:val="53782C77"/>
    <w:rsid w:val="551A713E"/>
    <w:rsid w:val="55297D14"/>
    <w:rsid w:val="55FB5137"/>
    <w:rsid w:val="572F7D0D"/>
    <w:rsid w:val="59C17819"/>
    <w:rsid w:val="5C7C5EA3"/>
    <w:rsid w:val="5CE02642"/>
    <w:rsid w:val="5DF2580B"/>
    <w:rsid w:val="5F3D02F9"/>
    <w:rsid w:val="61164B9D"/>
    <w:rsid w:val="6168730C"/>
    <w:rsid w:val="628B6DCE"/>
    <w:rsid w:val="632E6D0E"/>
    <w:rsid w:val="64550193"/>
    <w:rsid w:val="67447474"/>
    <w:rsid w:val="6844605C"/>
    <w:rsid w:val="69430F9C"/>
    <w:rsid w:val="6ADD0C2B"/>
    <w:rsid w:val="6AF1683A"/>
    <w:rsid w:val="6BF42214"/>
    <w:rsid w:val="6CE07A49"/>
    <w:rsid w:val="6CE56CF2"/>
    <w:rsid w:val="6CFE68F3"/>
    <w:rsid w:val="6D4354F2"/>
    <w:rsid w:val="6D5463D4"/>
    <w:rsid w:val="6D6B7E8E"/>
    <w:rsid w:val="6D8708AA"/>
    <w:rsid w:val="6E8B7869"/>
    <w:rsid w:val="6EF12EE8"/>
    <w:rsid w:val="6F683D2D"/>
    <w:rsid w:val="700011EE"/>
    <w:rsid w:val="70B270B6"/>
    <w:rsid w:val="73A73C88"/>
    <w:rsid w:val="73D970F1"/>
    <w:rsid w:val="73E37303"/>
    <w:rsid w:val="741317AA"/>
    <w:rsid w:val="757161DB"/>
    <w:rsid w:val="75A96C20"/>
    <w:rsid w:val="766650FB"/>
    <w:rsid w:val="783B1FF7"/>
    <w:rsid w:val="791337E6"/>
    <w:rsid w:val="7BC92944"/>
    <w:rsid w:val="7C09018C"/>
    <w:rsid w:val="7C2D32CA"/>
    <w:rsid w:val="7CCF4F32"/>
    <w:rsid w:val="7E495935"/>
    <w:rsid w:val="7EFC4610"/>
    <w:rsid w:val="7F173C95"/>
    <w:rsid w:val="7F1B5B41"/>
    <w:rsid w:val="9F6FD5D1"/>
    <w:rsid w:val="DFEF73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clear" w:pos="425"/>
      </w:tabs>
      <w:spacing w:line="360" w:lineRule="auto"/>
    </w:pPr>
    <w:rPr>
      <w:sz w:val="24"/>
    </w:rPr>
  </w:style>
  <w:style w:type="paragraph" w:styleId="14">
    <w:name w:val="table of authorities"/>
    <w:basedOn w:val="1"/>
    <w:next w:val="1"/>
    <w:autoRedefine/>
    <w:unhideWhenUsed/>
    <w:qFormat/>
    <w:uiPriority w:val="99"/>
    <w:pPr>
      <w:ind w:left="420" w:leftChars="200"/>
    </w:p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69"/>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autoRedefine/>
    <w:qFormat/>
    <w:uiPriority w:val="0"/>
    <w:rPr>
      <w:rFonts w:ascii="仿宋_GB2312" w:eastAsia="仿宋_GB2312"/>
      <w:sz w:val="32"/>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39"/>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94"/>
    <w:autoRedefine/>
    <w:qFormat/>
    <w:uiPriority w:val="0"/>
  </w:style>
  <w:style w:type="paragraph" w:styleId="34">
    <w:name w:val="Body Text Indent 2"/>
    <w:basedOn w:val="1"/>
    <w:link w:val="99"/>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100"/>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7"/>
    <w:autoRedefine/>
    <w:qFormat/>
    <w:uiPriority w:val="0"/>
    <w:pPr>
      <w:adjustRightInd/>
      <w:spacing w:line="240" w:lineRule="auto"/>
      <w:textAlignment w:val="auto"/>
    </w:pPr>
  </w:style>
  <w:style w:type="paragraph" w:styleId="56">
    <w:name w:val="Body Text First Indent"/>
    <w:basedOn w:val="23"/>
    <w:autoRedefine/>
    <w:qFormat/>
    <w:uiPriority w:val="0"/>
    <w:pPr>
      <w:spacing w:line="360" w:lineRule="auto"/>
      <w:ind w:firstLine="420"/>
    </w:pPr>
    <w:rPr>
      <w:rFonts w:ascii="宋体" w:hAnsi="宋体"/>
      <w:sz w:val="24"/>
    </w:rPr>
  </w:style>
  <w:style w:type="paragraph" w:styleId="57">
    <w:name w:val="Body Text First Indent 2"/>
    <w:basedOn w:val="24"/>
    <w:link w:val="76"/>
    <w:autoRedefine/>
    <w:qFormat/>
    <w:uiPriority w:val="0"/>
    <w:pPr>
      <w:spacing w:after="120" w:line="240" w:lineRule="auto"/>
      <w:ind w:left="420" w:leftChars="200" w:firstLine="420" w:firstLineChars="200"/>
    </w:pPr>
  </w:style>
  <w:style w:type="table" w:styleId="59">
    <w:name w:val="Table Grid"/>
    <w:basedOn w:val="5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basedOn w:val="60"/>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标题 2 Char"/>
    <w:link w:val="3"/>
    <w:autoRedefine/>
    <w:qFormat/>
    <w:uiPriority w:val="0"/>
    <w:rPr>
      <w:rFonts w:ascii="Arial" w:hAnsi="Arial" w:eastAsia="黑体"/>
      <w:b/>
      <w:kern w:val="2"/>
      <w:sz w:val="32"/>
    </w:rPr>
  </w:style>
  <w:style w:type="character" w:customStyle="1" w:styleId="69">
    <w:name w:val="批注文字 Char1"/>
    <w:link w:val="20"/>
    <w:autoRedefine/>
    <w:qFormat/>
    <w:uiPriority w:val="0"/>
    <w:rPr>
      <w:sz w:val="24"/>
    </w:rPr>
  </w:style>
  <w:style w:type="character" w:customStyle="1" w:styleId="70">
    <w:name w:val="font1"/>
    <w:autoRedefine/>
    <w:qFormat/>
    <w:uiPriority w:val="0"/>
    <w:rPr>
      <w:color w:val="000000"/>
      <w:sz w:val="18"/>
    </w:rPr>
  </w:style>
  <w:style w:type="character" w:customStyle="1" w:styleId="71">
    <w:name w:val="Table Heading Char Char"/>
    <w:autoRedefine/>
    <w:qFormat/>
    <w:uiPriority w:val="0"/>
    <w:rPr>
      <w:rFonts w:ascii="Arial" w:hAnsi="Arial" w:eastAsia="黑体"/>
      <w:kern w:val="2"/>
      <w:sz w:val="18"/>
      <w:lang w:val="en-US" w:eastAsia="zh-CN"/>
    </w:rPr>
  </w:style>
  <w:style w:type="character" w:customStyle="1" w:styleId="72">
    <w:name w:val="未命名11"/>
    <w:autoRedefine/>
    <w:qFormat/>
    <w:uiPriority w:val="0"/>
    <w:rPr>
      <w:color w:val="77FFFF"/>
      <w:sz w:val="24"/>
    </w:rPr>
  </w:style>
  <w:style w:type="character" w:customStyle="1" w:styleId="73">
    <w:name w:val="正文文本缩进 Char1"/>
    <w:link w:val="24"/>
    <w:autoRedefine/>
    <w:qFormat/>
    <w:uiPriority w:val="0"/>
    <w:rPr>
      <w:kern w:val="2"/>
      <w:sz w:val="44"/>
    </w:rPr>
  </w:style>
  <w:style w:type="character" w:customStyle="1" w:styleId="74">
    <w:name w:val="crowed11"/>
    <w:autoRedefine/>
    <w:qFormat/>
    <w:uiPriority w:val="0"/>
    <w:rPr>
      <w:rFonts w:hint="default"/>
      <w:sz w:val="24"/>
    </w:rPr>
  </w:style>
  <w:style w:type="character" w:customStyle="1" w:styleId="75">
    <w:name w:val="Table Text Char1 Char"/>
    <w:autoRedefine/>
    <w:qFormat/>
    <w:uiPriority w:val="0"/>
    <w:rPr>
      <w:rFonts w:ascii="Arial" w:hAnsi="Arial"/>
      <w:kern w:val="2"/>
      <w:sz w:val="18"/>
      <w:lang w:val="en-US" w:eastAsia="zh-CN" w:bidi="ar-SA"/>
    </w:rPr>
  </w:style>
  <w:style w:type="character" w:customStyle="1" w:styleId="76">
    <w:name w:val="正文首行缩进 2 Char"/>
    <w:basedOn w:val="73"/>
    <w:link w:val="57"/>
    <w:autoRedefine/>
    <w:qFormat/>
    <w:uiPriority w:val="0"/>
    <w:rPr>
      <w:kern w:val="2"/>
      <w:sz w:val="44"/>
    </w:rPr>
  </w:style>
  <w:style w:type="character" w:customStyle="1" w:styleId="77">
    <w:name w:val="Table Text Char"/>
    <w:link w:val="78"/>
    <w:autoRedefine/>
    <w:qFormat/>
    <w:uiPriority w:val="0"/>
    <w:rPr>
      <w:rFonts w:ascii="Arial" w:hAnsi="Arial"/>
      <w:kern w:val="2"/>
      <w:sz w:val="18"/>
      <w:lang w:val="en-US" w:eastAsia="zh-CN" w:bidi="ar-SA"/>
    </w:rPr>
  </w:style>
  <w:style w:type="paragraph" w:customStyle="1" w:styleId="78">
    <w:name w:val="Table Text"/>
    <w:link w:val="7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标书正文:  0.74 厘米 Char1"/>
    <w:autoRedefine/>
    <w:qFormat/>
    <w:uiPriority w:val="0"/>
    <w:rPr>
      <w:rFonts w:eastAsia="宋体"/>
      <w:kern w:val="2"/>
      <w:sz w:val="24"/>
      <w:lang w:val="en-US" w:eastAsia="zh-CN"/>
    </w:rPr>
  </w:style>
  <w:style w:type="character" w:customStyle="1" w:styleId="80">
    <w:name w:val="标题 3 Char"/>
    <w:link w:val="4"/>
    <w:autoRedefine/>
    <w:qFormat/>
    <w:uiPriority w:val="0"/>
    <w:rPr>
      <w:rFonts w:eastAsia="宋体"/>
      <w:b/>
      <w:kern w:val="2"/>
      <w:sz w:val="32"/>
      <w:lang w:val="en-US" w:eastAsia="zh-CN"/>
    </w:rPr>
  </w:style>
  <w:style w:type="character" w:customStyle="1" w:styleId="81">
    <w:name w:val="样式 宋体"/>
    <w:autoRedefine/>
    <w:qFormat/>
    <w:uiPriority w:val="0"/>
    <w:rPr>
      <w:rFonts w:ascii="宋体" w:hAnsi="宋体" w:eastAsia="宋体"/>
      <w:sz w:val="28"/>
    </w:rPr>
  </w:style>
  <w:style w:type="character" w:customStyle="1" w:styleId="82">
    <w:name w:val="正文 + 三号 Char"/>
    <w:autoRedefine/>
    <w:qFormat/>
    <w:uiPriority w:val="0"/>
    <w:rPr>
      <w:rFonts w:eastAsia="宋体"/>
      <w:kern w:val="2"/>
      <w:sz w:val="21"/>
      <w:lang w:val="en-US" w:eastAsia="zh-CN"/>
    </w:rPr>
  </w:style>
  <w:style w:type="character" w:customStyle="1" w:styleId="83">
    <w:name w:val="Char Char11"/>
    <w:autoRedefine/>
    <w:qFormat/>
    <w:uiPriority w:val="0"/>
    <w:rPr>
      <w:rFonts w:ascii="宋体"/>
      <w:kern w:val="2"/>
      <w:sz w:val="28"/>
    </w:rPr>
  </w:style>
  <w:style w:type="character" w:customStyle="1" w:styleId="84">
    <w:name w:val="文字 Char"/>
    <w:link w:val="85"/>
    <w:autoRedefine/>
    <w:qFormat/>
    <w:uiPriority w:val="0"/>
    <w:rPr>
      <w:rFonts w:ascii="宋体"/>
      <w:kern w:val="2"/>
      <w:sz w:val="28"/>
    </w:rPr>
  </w:style>
  <w:style w:type="paragraph" w:customStyle="1" w:styleId="85">
    <w:name w:val="文字"/>
    <w:basedOn w:val="1"/>
    <w:link w:val="84"/>
    <w:autoRedefine/>
    <w:qFormat/>
    <w:uiPriority w:val="0"/>
    <w:pPr>
      <w:tabs>
        <w:tab w:val="left" w:pos="8520"/>
      </w:tabs>
      <w:spacing w:line="312" w:lineRule="auto"/>
      <w:ind w:right="-210" w:firstLine="556"/>
    </w:pPr>
    <w:rPr>
      <w:rFonts w:ascii="宋体"/>
    </w:rPr>
  </w:style>
  <w:style w:type="character" w:customStyle="1" w:styleId="86">
    <w:name w:val="content-white1"/>
    <w:autoRedefine/>
    <w:qFormat/>
    <w:uiPriority w:val="0"/>
    <w:rPr>
      <w:color w:val="auto"/>
      <w:sz w:val="18"/>
      <w:u w:val="none"/>
    </w:rPr>
  </w:style>
  <w:style w:type="character" w:customStyle="1" w:styleId="87">
    <w:name w:val="批注主题 Char"/>
    <w:basedOn w:val="69"/>
    <w:link w:val="55"/>
    <w:autoRedefine/>
    <w:qFormat/>
    <w:uiPriority w:val="0"/>
    <w:rPr>
      <w:sz w:val="24"/>
    </w:rPr>
  </w:style>
  <w:style w:type="character" w:customStyle="1" w:styleId="88">
    <w:name w:val="Char Char3"/>
    <w:autoRedefine/>
    <w:qFormat/>
    <w:uiPriority w:val="0"/>
    <w:rPr>
      <w:rFonts w:eastAsia="宋体"/>
      <w:kern w:val="2"/>
      <w:sz w:val="18"/>
      <w:lang w:val="en-US" w:eastAsia="zh-CN"/>
    </w:rPr>
  </w:style>
  <w:style w:type="character" w:customStyle="1" w:styleId="89">
    <w:name w:val="title_emph1"/>
    <w:autoRedefine/>
    <w:qFormat/>
    <w:uiPriority w:val="0"/>
    <w:rPr>
      <w:rFonts w:hint="default" w:ascii="Arial" w:hAnsi="Arial"/>
      <w:b/>
      <w:sz w:val="20"/>
    </w:rPr>
  </w:style>
  <w:style w:type="character" w:customStyle="1" w:styleId="90">
    <w:name w:val="top-det1"/>
    <w:autoRedefine/>
    <w:qFormat/>
    <w:uiPriority w:val="0"/>
    <w:rPr>
      <w:b/>
      <w:color w:val="000000"/>
    </w:rPr>
  </w:style>
  <w:style w:type="character" w:customStyle="1" w:styleId="91">
    <w:name w:val="Char Char2"/>
    <w:autoRedefine/>
    <w:qFormat/>
    <w:uiPriority w:val="0"/>
    <w:rPr>
      <w:rFonts w:eastAsia="宋体"/>
      <w:kern w:val="2"/>
      <w:sz w:val="18"/>
      <w:lang w:val="en-US" w:eastAsia="zh-CN"/>
    </w:rPr>
  </w:style>
  <w:style w:type="character" w:customStyle="1" w:styleId="92">
    <w:name w:val="v151"/>
    <w:autoRedefine/>
    <w:qFormat/>
    <w:uiPriority w:val="0"/>
    <w:rPr>
      <w:sz w:val="18"/>
    </w:rPr>
  </w:style>
  <w:style w:type="character" w:customStyle="1" w:styleId="93">
    <w:name w:val="小 Char"/>
    <w:autoRedefine/>
    <w:qFormat/>
    <w:uiPriority w:val="0"/>
    <w:rPr>
      <w:rFonts w:ascii="宋体" w:hAnsi="Courier New" w:eastAsia="宋体"/>
      <w:kern w:val="2"/>
      <w:sz w:val="21"/>
      <w:lang w:val="en-US" w:eastAsia="zh-CN" w:bidi="ar-SA"/>
    </w:rPr>
  </w:style>
  <w:style w:type="character" w:customStyle="1" w:styleId="94">
    <w:name w:val="日期 Char1"/>
    <w:link w:val="33"/>
    <w:autoRedefine/>
    <w:qFormat/>
    <w:uiPriority w:val="0"/>
    <w:rPr>
      <w:kern w:val="2"/>
      <w:sz w:val="28"/>
    </w:rPr>
  </w:style>
  <w:style w:type="character" w:customStyle="1" w:styleId="95">
    <w:name w:val="Char Char5"/>
    <w:autoRedefine/>
    <w:qFormat/>
    <w:uiPriority w:val="0"/>
    <w:rPr>
      <w:rFonts w:ascii="Arial" w:hAnsi="Arial" w:eastAsia="宋体"/>
      <w:b/>
      <w:smallCaps/>
      <w:kern w:val="28"/>
      <w:sz w:val="36"/>
      <w:lang w:val="en-US" w:eastAsia="en-US"/>
    </w:rPr>
  </w:style>
  <w:style w:type="character" w:customStyle="1" w:styleId="96">
    <w:name w:val="Char Char7"/>
    <w:autoRedefine/>
    <w:qFormat/>
    <w:uiPriority w:val="0"/>
    <w:rPr>
      <w:rFonts w:ascii="宋体" w:hAnsi="宋体" w:eastAsia="宋体"/>
      <w:kern w:val="2"/>
      <w:sz w:val="28"/>
    </w:rPr>
  </w:style>
  <w:style w:type="character" w:customStyle="1" w:styleId="97">
    <w:name w:val="Char Char4"/>
    <w:autoRedefine/>
    <w:qFormat/>
    <w:uiPriority w:val="0"/>
    <w:rPr>
      <w:rFonts w:eastAsia="宋体"/>
      <w:b/>
      <w:kern w:val="2"/>
      <w:sz w:val="21"/>
      <w:lang w:val="en-US" w:eastAsia="zh-CN"/>
    </w:rPr>
  </w:style>
  <w:style w:type="character" w:customStyle="1" w:styleId="98">
    <w:name w:val="Char Char"/>
    <w:autoRedefine/>
    <w:qFormat/>
    <w:uiPriority w:val="0"/>
    <w:rPr>
      <w:rFonts w:ascii="宋体" w:hAnsi="宋体" w:eastAsia="宋体"/>
      <w:kern w:val="2"/>
      <w:sz w:val="24"/>
      <w:lang w:val="en-US" w:eastAsia="zh-CN" w:bidi="ar-SA"/>
    </w:rPr>
  </w:style>
  <w:style w:type="character" w:customStyle="1" w:styleId="99">
    <w:name w:val="正文文本缩进 2 Char"/>
    <w:link w:val="34"/>
    <w:autoRedefine/>
    <w:qFormat/>
    <w:uiPriority w:val="0"/>
    <w:rPr>
      <w:kern w:val="2"/>
      <w:sz w:val="28"/>
    </w:rPr>
  </w:style>
  <w:style w:type="character" w:customStyle="1" w:styleId="100">
    <w:name w:val="脚注文本 Char"/>
    <w:link w:val="41"/>
    <w:autoRedefine/>
    <w:qFormat/>
    <w:uiPriority w:val="0"/>
    <w:rPr>
      <w:kern w:val="2"/>
      <w:sz w:val="18"/>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Char Char Char"/>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Char Char6"/>
    <w:autoRedefine/>
    <w:qFormat/>
    <w:uiPriority w:val="0"/>
    <w:rPr>
      <w:rFonts w:ascii="仿宋_GB2312" w:eastAsia="仿宋_GB2312"/>
      <w:kern w:val="2"/>
      <w:sz w:val="32"/>
    </w:rPr>
  </w:style>
  <w:style w:type="character" w:customStyle="1" w:styleId="104">
    <w:name w:val="H2 Char"/>
    <w:autoRedefine/>
    <w:qFormat/>
    <w:uiPriority w:val="0"/>
    <w:rPr>
      <w:rFonts w:ascii="Arial" w:hAnsi="Arial" w:eastAsia="宋体"/>
      <w:kern w:val="2"/>
      <w:sz w:val="28"/>
      <w:lang w:val="en-US" w:eastAsia="zh-CN"/>
    </w:rPr>
  </w:style>
  <w:style w:type="paragraph" w:customStyle="1" w:styleId="105">
    <w:name w:val="Table Contents"/>
    <w:basedOn w:val="23"/>
    <w:autoRedefine/>
    <w:qFormat/>
    <w:uiPriority w:val="0"/>
    <w:pPr>
      <w:suppressAutoHyphens/>
      <w:jc w:val="left"/>
    </w:pPr>
    <w:rPr>
      <w:rFonts w:ascii="Times New Roman" w:eastAsia="Times New Roman"/>
      <w:kern w:val="0"/>
      <w:sz w:val="24"/>
    </w:rPr>
  </w:style>
  <w:style w:type="paragraph" w:customStyle="1" w:styleId="106">
    <w:name w:val="摘要"/>
    <w:basedOn w:val="1"/>
    <w:next w:val="3"/>
    <w:autoRedefine/>
    <w:qFormat/>
    <w:uiPriority w:val="0"/>
    <w:pPr>
      <w:spacing w:line="360" w:lineRule="auto"/>
    </w:pPr>
    <w:rPr>
      <w:rFonts w:eastAsia="黑体"/>
      <w:sz w:val="20"/>
    </w:rPr>
  </w:style>
  <w:style w:type="paragraph" w:customStyle="1" w:styleId="107">
    <w:name w:val="样式 宋体 五号 行距: 单倍行距"/>
    <w:basedOn w:val="1"/>
    <w:autoRedefine/>
    <w:qFormat/>
    <w:uiPriority w:val="0"/>
    <w:pPr>
      <w:adjustRightInd w:val="0"/>
      <w:jc w:val="left"/>
    </w:pPr>
    <w:rPr>
      <w:rFonts w:ascii="宋体" w:hAnsi="宋体"/>
      <w:kern w:val="0"/>
      <w:sz w:val="21"/>
    </w:rPr>
  </w:style>
  <w:style w:type="paragraph" w:customStyle="1" w:styleId="10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09">
    <w:name w:val="表号"/>
    <w:basedOn w:val="1"/>
    <w:autoRedefine/>
    <w:qFormat/>
    <w:uiPriority w:val="0"/>
    <w:pPr>
      <w:numPr>
        <w:ilvl w:val="0"/>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10">
    <w:name w:val="Title - Date"/>
    <w:basedOn w:val="54"/>
    <w:next w:val="1"/>
    <w:autoRedefine/>
    <w:qFormat/>
    <w:uiPriority w:val="0"/>
    <w:pPr>
      <w:spacing w:before="240" w:after="720"/>
    </w:pPr>
    <w:rPr>
      <w:sz w:val="28"/>
    </w:rPr>
  </w:style>
  <w:style w:type="paragraph" w:customStyle="1" w:styleId="11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2">
    <w:name w:val="标题3——2"/>
    <w:basedOn w:val="4"/>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13">
    <w:name w:val="正文1"/>
    <w:basedOn w:val="1"/>
    <w:autoRedefine/>
    <w:qFormat/>
    <w:uiPriority w:val="0"/>
    <w:pPr>
      <w:spacing w:line="300" w:lineRule="auto"/>
      <w:ind w:firstLine="200" w:firstLineChars="200"/>
    </w:pPr>
    <w:rPr>
      <w:sz w:val="24"/>
    </w:rPr>
  </w:style>
  <w:style w:type="paragraph" w:customStyle="1" w:styleId="114">
    <w:name w:val="表头"/>
    <w:basedOn w:val="115"/>
    <w:autoRedefine/>
    <w:qFormat/>
    <w:uiPriority w:val="0"/>
    <w:pPr>
      <w:jc w:val="center"/>
    </w:pPr>
    <w:rPr>
      <w:b/>
      <w:bCs/>
    </w:rPr>
  </w:style>
  <w:style w:type="paragraph" w:customStyle="1" w:styleId="115">
    <w:name w:val="表格正文"/>
    <w:basedOn w:val="1"/>
    <w:autoRedefine/>
    <w:qFormat/>
    <w:uiPriority w:val="0"/>
    <w:rPr>
      <w:rFonts w:ascii="Calibri" w:hAnsi="Calibri" w:eastAsia="仿宋" w:cs="宋体"/>
      <w:sz w:val="24"/>
    </w:rPr>
  </w:style>
  <w:style w:type="paragraph" w:customStyle="1" w:styleId="116">
    <w:name w:val="样式2"/>
    <w:basedOn w:val="5"/>
    <w:autoRedefine/>
    <w:qFormat/>
    <w:uiPriority w:val="0"/>
    <w:pPr>
      <w:numPr>
        <w:ilvl w:val="0"/>
        <w:numId w:val="5"/>
      </w:numPr>
      <w:spacing w:before="560" w:line="400" w:lineRule="exact"/>
      <w:jc w:val="center"/>
      <w:outlineLvl w:val="0"/>
    </w:pPr>
    <w:rPr>
      <w:b w:val="0"/>
      <w:sz w:val="44"/>
    </w:rPr>
  </w:style>
  <w:style w:type="paragraph" w:customStyle="1" w:styleId="11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18">
    <w:name w:val="Char Char14 Char Char"/>
    <w:basedOn w:val="1"/>
    <w:autoRedefine/>
    <w:qFormat/>
    <w:uiPriority w:val="0"/>
    <w:rPr>
      <w:sz w:val="21"/>
      <w:szCs w:val="24"/>
    </w:rPr>
  </w:style>
  <w:style w:type="paragraph" w:customStyle="1" w:styleId="119">
    <w:name w:val="表文字"/>
    <w:autoRedefine/>
    <w:qFormat/>
    <w:uiPriority w:val="0"/>
    <w:rPr>
      <w:rFonts w:ascii="宋体" w:hAnsi="Times New Roman" w:eastAsia="宋体" w:cs="Times New Roman"/>
      <w:kern w:val="2"/>
      <w:lang w:val="en-US" w:eastAsia="zh-CN" w:bidi="ar-SA"/>
    </w:rPr>
  </w:style>
  <w:style w:type="paragraph" w:customStyle="1" w:styleId="12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默认段落字体 Para Char Char Char Char Char Char Char"/>
    <w:basedOn w:val="1"/>
    <w:autoRedefine/>
    <w:qFormat/>
    <w:uiPriority w:val="0"/>
    <w:rPr>
      <w:rFonts w:ascii="Tahoma" w:hAnsi="Tahoma"/>
      <w:sz w:val="24"/>
    </w:rPr>
  </w:style>
  <w:style w:type="paragraph" w:customStyle="1" w:styleId="122">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3">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24">
    <w:name w:val="Char"/>
    <w:basedOn w:val="1"/>
    <w:autoRedefine/>
    <w:qFormat/>
    <w:uiPriority w:val="0"/>
    <w:pPr>
      <w:spacing w:line="240" w:lineRule="atLeast"/>
      <w:ind w:left="420" w:firstLine="420"/>
    </w:pPr>
    <w:rPr>
      <w:kern w:val="0"/>
      <w:sz w:val="21"/>
    </w:rPr>
  </w:style>
  <w:style w:type="paragraph" w:customStyle="1" w:styleId="125">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26">
    <w:name w:val="样式1"/>
    <w:basedOn w:val="5"/>
    <w:autoRedefine/>
    <w:qFormat/>
    <w:uiPriority w:val="0"/>
    <w:pPr>
      <w:tabs>
        <w:tab w:val="left" w:pos="720"/>
      </w:tabs>
      <w:spacing w:before="500" w:after="260" w:line="560" w:lineRule="atLeast"/>
      <w:ind w:left="420" w:hanging="420"/>
    </w:pPr>
  </w:style>
  <w:style w:type="paragraph" w:customStyle="1" w:styleId="127">
    <w:name w:val="IN Feature"/>
    <w:next w:val="111"/>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8">
    <w:name w:val="Style Heading 3h3Heading 3 - oldLevel 3 HeadH3level_3PIM 3se..."/>
    <w:basedOn w:val="4"/>
    <w:autoRedefine/>
    <w:qFormat/>
    <w:uiPriority w:val="0"/>
    <w:pPr>
      <w:tabs>
        <w:tab w:val="left" w:pos="709"/>
        <w:tab w:val="left" w:pos="1620"/>
      </w:tabs>
      <w:ind w:left="1620" w:hanging="360"/>
    </w:pPr>
  </w:style>
  <w:style w:type="paragraph" w:customStyle="1" w:styleId="129">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修订1"/>
    <w:autoRedefine/>
    <w:qFormat/>
    <w:uiPriority w:val="0"/>
    <w:rPr>
      <w:rFonts w:ascii="Times New Roman" w:hAnsi="Times New Roman" w:eastAsia="宋体" w:cs="Times New Roman"/>
      <w:kern w:val="2"/>
      <w:sz w:val="21"/>
      <w:lang w:val="en-US" w:eastAsia="zh-CN" w:bidi="ar-SA"/>
    </w:rPr>
  </w:style>
  <w:style w:type="paragraph" w:customStyle="1" w:styleId="131">
    <w:name w:val="正文字缩2字"/>
    <w:basedOn w:val="1"/>
    <w:autoRedefine/>
    <w:qFormat/>
    <w:uiPriority w:val="0"/>
    <w:pPr>
      <w:spacing w:before="60" w:after="60" w:line="360" w:lineRule="auto"/>
      <w:ind w:left="200" w:leftChars="200" w:firstLine="200" w:firstLineChars="200"/>
    </w:pPr>
    <w:rPr>
      <w:sz w:val="24"/>
    </w:rPr>
  </w:style>
  <w:style w:type="paragraph" w:customStyle="1" w:styleId="13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33">
    <w:name w:val="Char Char Char Char Char Char Char"/>
    <w:basedOn w:val="18"/>
    <w:autoRedefine/>
    <w:qFormat/>
    <w:uiPriority w:val="0"/>
    <w:rPr>
      <w:rFonts w:ascii="宋体" w:hAnsi="Tahoma"/>
    </w:rPr>
  </w:style>
  <w:style w:type="paragraph" w:customStyle="1" w:styleId="134">
    <w:name w:val="默认段落字体 Para Char Char Char Char Char Char Char Char Char1 Char Char Char Char"/>
    <w:basedOn w:val="1"/>
    <w:autoRedefine/>
    <w:qFormat/>
    <w:uiPriority w:val="0"/>
    <w:rPr>
      <w:rFonts w:ascii="Tahoma" w:hAnsi="Tahoma"/>
      <w:sz w:val="24"/>
    </w:rPr>
  </w:style>
  <w:style w:type="paragraph" w:customStyle="1" w:styleId="13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图片文字"/>
    <w:basedOn w:val="1"/>
    <w:autoRedefine/>
    <w:qFormat/>
    <w:uiPriority w:val="0"/>
    <w:pPr>
      <w:spacing w:line="240" w:lineRule="atLeast"/>
      <w:jc w:val="center"/>
    </w:pPr>
    <w:rPr>
      <w:sz w:val="21"/>
    </w:rPr>
  </w:style>
  <w:style w:type="paragraph" w:customStyle="1" w:styleId="138">
    <w:name w:val="Char Char1 Char"/>
    <w:basedOn w:val="1"/>
    <w:autoRedefine/>
    <w:qFormat/>
    <w:uiPriority w:val="0"/>
    <w:rPr>
      <w:rFonts w:ascii="Tahoma" w:hAnsi="Tahoma"/>
      <w:sz w:val="24"/>
      <w:szCs w:val="24"/>
    </w:rPr>
  </w:style>
  <w:style w:type="paragraph" w:customStyle="1" w:styleId="139">
    <w:name w:val="文本1"/>
    <w:basedOn w:val="1"/>
    <w:autoRedefine/>
    <w:qFormat/>
    <w:uiPriority w:val="0"/>
    <w:pPr>
      <w:adjustRightInd w:val="0"/>
      <w:spacing w:line="312" w:lineRule="atLeast"/>
      <w:jc w:val="center"/>
      <w:textAlignment w:val="baseline"/>
    </w:pPr>
    <w:rPr>
      <w:kern w:val="0"/>
      <w:sz w:val="18"/>
    </w:rPr>
  </w:style>
  <w:style w:type="paragraph" w:customStyle="1" w:styleId="140">
    <w:name w:val="Char Char Char Char Char Char Char Char Char Char Char Char Char Char Char Char"/>
    <w:basedOn w:val="1"/>
    <w:autoRedefine/>
    <w:qFormat/>
    <w:uiPriority w:val="0"/>
    <w:pPr>
      <w:tabs>
        <w:tab w:val="left" w:pos="360"/>
      </w:tabs>
    </w:pPr>
    <w:rPr>
      <w:sz w:val="24"/>
    </w:rPr>
  </w:style>
  <w:style w:type="paragraph" w:customStyle="1" w:styleId="141">
    <w:name w:val="图例"/>
    <w:basedOn w:val="1"/>
    <w:autoRedefine/>
    <w:qFormat/>
    <w:uiPriority w:val="0"/>
    <w:pPr>
      <w:spacing w:before="120" w:after="120" w:line="360" w:lineRule="auto"/>
      <w:jc w:val="center"/>
    </w:pPr>
    <w:rPr>
      <w:rFonts w:eastAsia="仿宋_GB2312"/>
      <w:b/>
      <w:sz w:val="24"/>
    </w:rPr>
  </w:style>
  <w:style w:type="paragraph" w:customStyle="1" w:styleId="1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43">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4">
    <w:name w:val="标书正文:  0.74 厘米"/>
    <w:basedOn w:val="1"/>
    <w:autoRedefine/>
    <w:qFormat/>
    <w:uiPriority w:val="0"/>
    <w:pPr>
      <w:snapToGrid w:val="0"/>
      <w:spacing w:line="360" w:lineRule="auto"/>
      <w:ind w:firstLine="420"/>
    </w:pPr>
    <w:rPr>
      <w:sz w:val="24"/>
    </w:rPr>
  </w:style>
  <w:style w:type="paragraph" w:customStyle="1" w:styleId="145">
    <w:name w:val="Char1"/>
    <w:basedOn w:val="1"/>
    <w:autoRedefine/>
    <w:qFormat/>
    <w:uiPriority w:val="0"/>
    <w:rPr>
      <w:sz w:val="21"/>
    </w:rPr>
  </w:style>
  <w:style w:type="paragraph" w:customStyle="1" w:styleId="146">
    <w:name w:val="正文 + 三号"/>
    <w:basedOn w:val="1"/>
    <w:autoRedefine/>
    <w:qFormat/>
    <w:uiPriority w:val="0"/>
    <w:rPr>
      <w:sz w:val="21"/>
    </w:rPr>
  </w:style>
  <w:style w:type="paragraph" w:customStyle="1" w:styleId="14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4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样式4"/>
    <w:basedOn w:val="5"/>
    <w:autoRedefine/>
    <w:qFormat/>
    <w:uiPriority w:val="0"/>
    <w:pPr>
      <w:adjustRightInd w:val="0"/>
      <w:snapToGrid w:val="0"/>
    </w:pPr>
  </w:style>
  <w:style w:type="paragraph" w:customStyle="1" w:styleId="151">
    <w:name w:val="样式 行距: 1.5 倍行距1"/>
    <w:basedOn w:val="1"/>
    <w:autoRedefine/>
    <w:qFormat/>
    <w:uiPriority w:val="0"/>
    <w:pPr>
      <w:snapToGrid w:val="0"/>
    </w:pPr>
    <w:rPr>
      <w:sz w:val="21"/>
    </w:rPr>
  </w:style>
  <w:style w:type="paragraph" w:customStyle="1" w:styleId="15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正文表格"/>
    <w:basedOn w:val="1"/>
    <w:autoRedefine/>
    <w:qFormat/>
    <w:uiPriority w:val="0"/>
    <w:pPr>
      <w:adjustRightInd w:val="0"/>
      <w:spacing w:before="40" w:after="40"/>
    </w:pPr>
    <w:rPr>
      <w:sz w:val="24"/>
    </w:rPr>
  </w:style>
  <w:style w:type="paragraph" w:customStyle="1" w:styleId="15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6">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7">
    <w:name w:val="正文文本缩进 21"/>
    <w:basedOn w:val="1"/>
    <w:autoRedefine/>
    <w:qFormat/>
    <w:uiPriority w:val="0"/>
    <w:pPr>
      <w:adjustRightInd w:val="0"/>
      <w:spacing w:before="120"/>
      <w:ind w:firstLine="420"/>
      <w:textAlignment w:val="baseline"/>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61">
    <w:name w:val="二级条标题"/>
    <w:basedOn w:val="162"/>
    <w:next w:val="159"/>
    <w:autoRedefine/>
    <w:qFormat/>
    <w:uiPriority w:val="0"/>
    <w:pPr>
      <w:ind w:left="840"/>
      <w:outlineLvl w:val="3"/>
    </w:pPr>
  </w:style>
  <w:style w:type="paragraph" w:customStyle="1" w:styleId="162">
    <w:name w:val="一级条标题"/>
    <w:basedOn w:val="163"/>
    <w:next w:val="159"/>
    <w:autoRedefine/>
    <w:qFormat/>
    <w:uiPriority w:val="0"/>
    <w:pPr>
      <w:numPr>
        <w:ilvl w:val="0"/>
        <w:numId w:val="0"/>
      </w:numPr>
      <w:ind w:left="525"/>
      <w:outlineLvl w:val="2"/>
    </w:pPr>
    <w:rPr>
      <w:sz w:val="21"/>
    </w:rPr>
  </w:style>
  <w:style w:type="paragraph" w:customStyle="1" w:styleId="163">
    <w:name w:val="章标题"/>
    <w:next w:val="1"/>
    <w:autoRedefine/>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6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6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68">
    <w:name w:val="关键词"/>
    <w:basedOn w:val="1"/>
    <w:next w:val="1"/>
    <w:autoRedefine/>
    <w:qFormat/>
    <w:uiPriority w:val="0"/>
    <w:pPr>
      <w:spacing w:line="360" w:lineRule="auto"/>
    </w:pPr>
    <w:rPr>
      <w:rFonts w:eastAsia="黑体"/>
      <w:sz w:val="20"/>
    </w:rPr>
  </w:style>
  <w:style w:type="paragraph" w:customStyle="1" w:styleId="169">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70">
    <w:name w:val="af"/>
    <w:basedOn w:val="1"/>
    <w:autoRedefine/>
    <w:qFormat/>
    <w:uiPriority w:val="0"/>
    <w:pPr>
      <w:widowControl/>
      <w:spacing w:line="300" w:lineRule="atLeast"/>
      <w:jc w:val="left"/>
    </w:pPr>
    <w:rPr>
      <w:rFonts w:ascii="宋体" w:hAnsi="宋体"/>
      <w:kern w:val="0"/>
      <w:sz w:val="18"/>
    </w:rPr>
  </w:style>
  <w:style w:type="paragraph" w:customStyle="1" w:styleId="171">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附录3"/>
    <w:basedOn w:val="1"/>
    <w:next w:val="1"/>
    <w:autoRedefine/>
    <w:qFormat/>
    <w:uiPriority w:val="0"/>
    <w:pPr>
      <w:tabs>
        <w:tab w:val="left" w:pos="851"/>
      </w:tabs>
      <w:ind w:left="425" w:hanging="425"/>
      <w:outlineLvl w:val="2"/>
    </w:pPr>
    <w:rPr>
      <w:rFonts w:eastAsia="黑体"/>
      <w:b/>
      <w:sz w:val="32"/>
    </w:rPr>
  </w:style>
  <w:style w:type="paragraph" w:customStyle="1" w:styleId="17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5">
    <w:name w:val="1.正文"/>
    <w:basedOn w:val="1"/>
    <w:autoRedefine/>
    <w:qFormat/>
    <w:uiPriority w:val="0"/>
    <w:pPr>
      <w:spacing w:line="360" w:lineRule="auto"/>
      <w:ind w:left="540" w:leftChars="225" w:firstLine="540" w:firstLineChars="225"/>
    </w:pPr>
    <w:rPr>
      <w:sz w:val="24"/>
    </w:rPr>
  </w:style>
  <w:style w:type="paragraph" w:customStyle="1" w:styleId="17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78">
    <w:name w:val="Title - Revision"/>
    <w:basedOn w:val="54"/>
    <w:autoRedefine/>
    <w:qFormat/>
    <w:uiPriority w:val="0"/>
    <w:pPr>
      <w:spacing w:before="720"/>
    </w:pPr>
  </w:style>
  <w:style w:type="paragraph" w:customStyle="1" w:styleId="17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正文文本 21"/>
    <w:basedOn w:val="1"/>
    <w:autoRedefine/>
    <w:qFormat/>
    <w:uiPriority w:val="0"/>
    <w:pPr>
      <w:adjustRightInd w:val="0"/>
      <w:spacing w:before="120" w:line="360" w:lineRule="auto"/>
      <w:ind w:firstLine="480"/>
      <w:textAlignment w:val="baseline"/>
    </w:pPr>
    <w:rPr>
      <w:sz w:val="24"/>
    </w:rPr>
  </w:style>
  <w:style w:type="paragraph" w:customStyle="1" w:styleId="18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2">
    <w:name w:val="Char2 Char Char Char Char Char Char"/>
    <w:basedOn w:val="1"/>
    <w:autoRedefine/>
    <w:qFormat/>
    <w:uiPriority w:val="0"/>
    <w:rPr>
      <w:rFonts w:ascii="仿宋_GB2312"/>
      <w:b/>
      <w:sz w:val="30"/>
    </w:rPr>
  </w:style>
  <w:style w:type="paragraph" w:customStyle="1" w:styleId="183">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8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85">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86">
    <w:name w:val="Char Char Char Char Char"/>
    <w:basedOn w:val="1"/>
    <w:autoRedefine/>
    <w:qFormat/>
    <w:uiPriority w:val="0"/>
    <w:pPr>
      <w:tabs>
        <w:tab w:val="left" w:pos="425"/>
      </w:tabs>
      <w:ind w:left="1620" w:hanging="360"/>
    </w:pPr>
    <w:rPr>
      <w:rFonts w:ascii="Tahoma" w:hAnsi="Tahoma"/>
      <w:sz w:val="24"/>
    </w:rPr>
  </w:style>
  <w:style w:type="paragraph" w:customStyle="1" w:styleId="187">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8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Char Char Char"/>
    <w:basedOn w:val="1"/>
    <w:autoRedefine/>
    <w:qFormat/>
    <w:uiPriority w:val="0"/>
    <w:rPr>
      <w:rFonts w:ascii="Tahoma" w:hAnsi="Tahoma"/>
      <w:sz w:val="24"/>
    </w:rPr>
  </w:style>
  <w:style w:type="paragraph" w:customStyle="1" w:styleId="19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样式1xz"/>
    <w:basedOn w:val="1"/>
    <w:autoRedefine/>
    <w:qFormat/>
    <w:uiPriority w:val="0"/>
    <w:pPr>
      <w:tabs>
        <w:tab w:val="left" w:pos="1050"/>
        <w:tab w:val="right" w:leader="dot" w:pos="8296"/>
      </w:tabs>
    </w:pPr>
    <w:rPr>
      <w:caps/>
      <w:spacing w:val="20"/>
      <w:sz w:val="24"/>
    </w:rPr>
  </w:style>
  <w:style w:type="paragraph" w:customStyle="1" w:styleId="192">
    <w:name w:val="简单回函地址"/>
    <w:basedOn w:val="1"/>
    <w:autoRedefine/>
    <w:qFormat/>
    <w:uiPriority w:val="0"/>
    <w:pPr>
      <w:adjustRightInd w:val="0"/>
      <w:snapToGrid w:val="0"/>
      <w:spacing w:line="360" w:lineRule="auto"/>
    </w:pPr>
    <w:rPr>
      <w:sz w:val="24"/>
    </w:rPr>
  </w:style>
  <w:style w:type="paragraph" w:customStyle="1" w:styleId="193">
    <w:name w:val="首行缩进 1"/>
    <w:basedOn w:val="1"/>
    <w:autoRedefine/>
    <w:qFormat/>
    <w:uiPriority w:val="0"/>
    <w:pPr>
      <w:spacing w:after="120" w:line="360" w:lineRule="auto"/>
      <w:ind w:firstLine="200" w:firstLineChars="200"/>
    </w:pPr>
    <w:rPr>
      <w:sz w:val="24"/>
    </w:rPr>
  </w:style>
  <w:style w:type="paragraph" w:customStyle="1" w:styleId="19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样式 首行缩进:  0.74 厘米"/>
    <w:basedOn w:val="1"/>
    <w:autoRedefine/>
    <w:qFormat/>
    <w:uiPriority w:val="0"/>
    <w:pPr>
      <w:spacing w:line="360" w:lineRule="auto"/>
      <w:ind w:firstLine="420"/>
    </w:pPr>
    <w:rPr>
      <w:sz w:val="24"/>
    </w:rPr>
  </w:style>
  <w:style w:type="paragraph" w:customStyle="1" w:styleId="196">
    <w:name w:val="表格内文字"/>
    <w:basedOn w:val="31"/>
    <w:autoRedefine/>
    <w:qFormat/>
    <w:uiPriority w:val="0"/>
    <w:pPr>
      <w:adjustRightInd w:val="0"/>
    </w:pPr>
    <w:rPr>
      <w:color w:val="000000"/>
      <w:lang w:val="en-GB"/>
    </w:rPr>
  </w:style>
  <w:style w:type="paragraph" w:customStyle="1" w:styleId="197">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0">
    <w:name w:val="Char2"/>
    <w:basedOn w:val="1"/>
    <w:autoRedefine/>
    <w:qFormat/>
    <w:uiPriority w:val="0"/>
    <w:pPr>
      <w:spacing w:line="240" w:lineRule="atLeast"/>
      <w:ind w:left="420" w:firstLine="420"/>
    </w:pPr>
    <w:rPr>
      <w:kern w:val="0"/>
      <w:sz w:val="21"/>
    </w:rPr>
  </w:style>
  <w:style w:type="paragraph" w:customStyle="1" w:styleId="201">
    <w:name w:val="Char1 Char Char Char"/>
    <w:basedOn w:val="1"/>
    <w:autoRedefine/>
    <w:qFormat/>
    <w:uiPriority w:val="0"/>
    <w:rPr>
      <w:rFonts w:ascii="Tahoma" w:hAnsi="Tahoma"/>
      <w:sz w:val="30"/>
    </w:rPr>
  </w:style>
  <w:style w:type="paragraph" w:customStyle="1" w:styleId="20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3">
    <w:name w:val="00"/>
    <w:basedOn w:val="1"/>
    <w:autoRedefine/>
    <w:qFormat/>
    <w:uiPriority w:val="0"/>
    <w:pPr>
      <w:autoSpaceDE w:val="0"/>
      <w:autoSpaceDN w:val="0"/>
      <w:adjustRightInd w:val="0"/>
      <w:jc w:val="left"/>
    </w:pPr>
    <w:rPr>
      <w:rFonts w:ascii="黑体" w:eastAsia="黑体"/>
      <w:b/>
      <w:kern w:val="0"/>
      <w:sz w:val="20"/>
    </w:rPr>
  </w:style>
  <w:style w:type="paragraph" w:customStyle="1" w:styleId="204">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标题无"/>
    <w:basedOn w:val="1"/>
    <w:autoRedefine/>
    <w:qFormat/>
    <w:uiPriority w:val="0"/>
    <w:pPr>
      <w:spacing w:line="360" w:lineRule="auto"/>
    </w:pPr>
    <w:rPr>
      <w:sz w:val="24"/>
    </w:rPr>
  </w:style>
  <w:style w:type="paragraph" w:customStyle="1" w:styleId="207">
    <w:name w:val="Char1 Char Char Char1"/>
    <w:basedOn w:val="1"/>
    <w:autoRedefine/>
    <w:qFormat/>
    <w:uiPriority w:val="0"/>
    <w:rPr>
      <w:rFonts w:ascii="Tahoma" w:hAnsi="Tahoma"/>
      <w:sz w:val="24"/>
    </w:rPr>
  </w:style>
  <w:style w:type="paragraph" w:customStyle="1" w:styleId="208">
    <w:name w:val="没有缩进（为图形使用）"/>
    <w:basedOn w:val="1"/>
    <w:autoRedefine/>
    <w:qFormat/>
    <w:uiPriority w:val="0"/>
    <w:pPr>
      <w:spacing w:before="120" w:after="120" w:line="360" w:lineRule="auto"/>
    </w:pPr>
    <w:rPr>
      <w:sz w:val="24"/>
    </w:rPr>
  </w:style>
  <w:style w:type="paragraph" w:customStyle="1" w:styleId="209">
    <w:name w:val="标准正文"/>
    <w:basedOn w:val="24"/>
    <w:autoRedefine/>
    <w:qFormat/>
    <w:uiPriority w:val="0"/>
    <w:pPr>
      <w:spacing w:before="60" w:after="60" w:line="360" w:lineRule="auto"/>
      <w:ind w:left="0" w:firstLine="482"/>
    </w:pPr>
    <w:rPr>
      <w:rFonts w:ascii="Arial" w:hAnsi="Arial"/>
      <w:sz w:val="24"/>
    </w:rPr>
  </w:style>
  <w:style w:type="paragraph" w:customStyle="1" w:styleId="21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2">
    <w:name w:val="内容标题"/>
    <w:basedOn w:val="18"/>
    <w:autoRedefine/>
    <w:qFormat/>
    <w:uiPriority w:val="0"/>
    <w:rPr>
      <w:rFonts w:ascii="Tahoma" w:hAnsi="Tahoma"/>
      <w:sz w:val="24"/>
    </w:rPr>
  </w:style>
  <w:style w:type="paragraph" w:customStyle="1" w:styleId="21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5">
    <w:name w:val="1"/>
    <w:basedOn w:val="1"/>
    <w:next w:val="31"/>
    <w:autoRedefine/>
    <w:qFormat/>
    <w:uiPriority w:val="0"/>
    <w:rPr>
      <w:rFonts w:ascii="宋体" w:hAnsi="Courier New"/>
      <w:sz w:val="21"/>
    </w:rPr>
  </w:style>
  <w:style w:type="paragraph" w:customStyle="1" w:styleId="21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8">
    <w:name w:val="可研正文"/>
    <w:basedOn w:val="23"/>
    <w:autoRedefine/>
    <w:qFormat/>
    <w:uiPriority w:val="0"/>
    <w:pPr>
      <w:adjustRightInd w:val="0"/>
      <w:snapToGrid w:val="0"/>
      <w:spacing w:line="440" w:lineRule="exact"/>
      <w:ind w:firstLine="567"/>
    </w:pPr>
    <w:rPr>
      <w:sz w:val="28"/>
    </w:rPr>
  </w:style>
  <w:style w:type="paragraph" w:customStyle="1" w:styleId="219">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首行缩进"/>
    <w:basedOn w:val="1"/>
    <w:autoRedefine/>
    <w:qFormat/>
    <w:uiPriority w:val="0"/>
    <w:pPr>
      <w:numPr>
        <w:ilvl w:val="0"/>
        <w:numId w:val="10"/>
      </w:numPr>
      <w:spacing w:line="360" w:lineRule="auto"/>
    </w:pPr>
    <w:rPr>
      <w:rFonts w:eastAsia="仿宋_GB2312"/>
    </w:rPr>
  </w:style>
  <w:style w:type="paragraph" w:customStyle="1" w:styleId="221">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22">
    <w:name w:val="编号正文"/>
    <w:basedOn w:val="210"/>
    <w:autoRedefine/>
    <w:qFormat/>
    <w:uiPriority w:val="0"/>
    <w:pPr>
      <w:snapToGrid/>
      <w:spacing w:line="360" w:lineRule="auto"/>
      <w:ind w:left="1407" w:hanging="1047"/>
      <w:jc w:val="left"/>
    </w:pPr>
    <w:rPr>
      <w:rFonts w:eastAsia="仿宋_GB2312"/>
    </w:rPr>
  </w:style>
  <w:style w:type="paragraph" w:customStyle="1" w:styleId="223">
    <w:name w:val="文本框样式1"/>
    <w:basedOn w:val="1"/>
    <w:autoRedefine/>
    <w:qFormat/>
    <w:uiPriority w:val="0"/>
    <w:pPr>
      <w:adjustRightInd w:val="0"/>
      <w:snapToGrid w:val="0"/>
      <w:spacing w:before="60" w:line="180" w:lineRule="exact"/>
      <w:jc w:val="center"/>
    </w:pPr>
    <w:rPr>
      <w:sz w:val="21"/>
    </w:rPr>
  </w:style>
  <w:style w:type="paragraph" w:customStyle="1" w:styleId="22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5">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26">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27">
    <w:name w:val="Char Char Char Char Char Char Char1"/>
    <w:basedOn w:val="1"/>
    <w:autoRedefine/>
    <w:qFormat/>
    <w:uiPriority w:val="0"/>
    <w:rPr>
      <w:rFonts w:ascii="Tahoma" w:hAnsi="Tahoma"/>
      <w:sz w:val="24"/>
    </w:rPr>
  </w:style>
  <w:style w:type="paragraph" w:customStyle="1" w:styleId="228">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29">
    <w:name w:val="段落正文"/>
    <w:basedOn w:val="1"/>
    <w:autoRedefine/>
    <w:qFormat/>
    <w:uiPriority w:val="0"/>
    <w:pPr>
      <w:spacing w:beforeLines="50" w:line="360" w:lineRule="auto"/>
      <w:ind w:firstLine="200" w:firstLineChars="200"/>
    </w:pPr>
    <w:rPr>
      <w:spacing w:val="2"/>
      <w:sz w:val="24"/>
    </w:rPr>
  </w:style>
  <w:style w:type="paragraph" w:customStyle="1" w:styleId="230">
    <w:name w:val="文章正文"/>
    <w:basedOn w:val="1"/>
    <w:autoRedefine/>
    <w:qFormat/>
    <w:uiPriority w:val="0"/>
    <w:pPr>
      <w:ind w:firstLine="560" w:firstLineChars="200"/>
    </w:pPr>
    <w:rPr>
      <w:rFonts w:ascii="仿宋_GB2312" w:hAnsi="宋体" w:eastAsia="仿宋_GB2312"/>
      <w:color w:val="000000"/>
    </w:rPr>
  </w:style>
  <w:style w:type="paragraph" w:customStyle="1" w:styleId="231">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样式 正文缩进正文（首行缩进两字）表正文正文非缩进特点标题4段1 + 首行缩进:  2 字符"/>
    <w:basedOn w:val="16"/>
    <w:autoRedefine/>
    <w:qFormat/>
    <w:uiPriority w:val="0"/>
    <w:pPr>
      <w:ind w:firstLine="480" w:firstLineChars="200"/>
    </w:pPr>
  </w:style>
  <w:style w:type="paragraph" w:customStyle="1" w:styleId="234">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35">
    <w:name w:val="二级列表"/>
    <w:basedOn w:val="229"/>
    <w:next w:val="229"/>
    <w:autoRedefine/>
    <w:qFormat/>
    <w:uiPriority w:val="0"/>
    <w:pPr>
      <w:tabs>
        <w:tab w:val="left" w:pos="2120"/>
      </w:tabs>
      <w:ind w:firstLine="0" w:firstLineChars="0"/>
    </w:pPr>
    <w:rPr>
      <w:b/>
    </w:rPr>
  </w:style>
  <w:style w:type="paragraph" w:customStyle="1" w:styleId="236">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3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8">
    <w:name w:val="表头文本"/>
    <w:autoRedefine/>
    <w:qFormat/>
    <w:uiPriority w:val="0"/>
    <w:pPr>
      <w:jc w:val="center"/>
    </w:pPr>
    <w:rPr>
      <w:rFonts w:ascii="Arial" w:hAnsi="Arial" w:eastAsia="宋体" w:cs="Times New Roman"/>
      <w:b/>
      <w:sz w:val="21"/>
      <w:lang w:val="en-US" w:eastAsia="zh-CN" w:bidi="ar-SA"/>
    </w:rPr>
  </w:style>
  <w:style w:type="character" w:customStyle="1" w:styleId="239">
    <w:name w:val="纯文本 Char"/>
    <w:link w:val="31"/>
    <w:autoRedefine/>
    <w:qFormat/>
    <w:uiPriority w:val="0"/>
    <w:rPr>
      <w:rFonts w:ascii="宋体" w:hAnsi="Courier New"/>
      <w:kern w:val="2"/>
      <w:sz w:val="21"/>
    </w:rPr>
  </w:style>
  <w:style w:type="paragraph" w:styleId="240">
    <w:name w:val="List Paragraph"/>
    <w:basedOn w:val="1"/>
    <w:link w:val="241"/>
    <w:autoRedefine/>
    <w:qFormat/>
    <w:uiPriority w:val="34"/>
    <w:pPr>
      <w:ind w:firstLine="420" w:firstLineChars="200"/>
    </w:pPr>
    <w:rPr>
      <w:rFonts w:ascii="Calibri" w:hAnsi="Calibri"/>
      <w:sz w:val="21"/>
      <w:szCs w:val="22"/>
    </w:rPr>
  </w:style>
  <w:style w:type="character" w:customStyle="1" w:styleId="241">
    <w:name w:val="列出段落 Char"/>
    <w:link w:val="240"/>
    <w:autoRedefine/>
    <w:qFormat/>
    <w:uiPriority w:val="34"/>
    <w:rPr>
      <w:rFonts w:ascii="Calibri" w:hAnsi="Calibri"/>
      <w:kern w:val="2"/>
      <w:sz w:val="21"/>
      <w:szCs w:val="22"/>
    </w:rPr>
  </w:style>
  <w:style w:type="paragraph" w:customStyle="1" w:styleId="242">
    <w:name w:val="列出段落2"/>
    <w:basedOn w:val="1"/>
    <w:autoRedefine/>
    <w:qFormat/>
    <w:uiPriority w:val="0"/>
    <w:pPr>
      <w:ind w:firstLine="420" w:firstLineChars="200"/>
    </w:pPr>
    <w:rPr>
      <w:rFonts w:ascii="Calibri" w:hAnsi="Calibri"/>
      <w:kern w:val="0"/>
      <w:sz w:val="34"/>
      <w:szCs w:val="22"/>
    </w:rPr>
  </w:style>
  <w:style w:type="character" w:customStyle="1" w:styleId="243">
    <w:name w:val="未处理的提及1"/>
    <w:basedOn w:val="60"/>
    <w:autoRedefine/>
    <w:qFormat/>
    <w:uiPriority w:val="99"/>
    <w:rPr>
      <w:color w:val="605E5C"/>
      <w:shd w:val="clear" w:color="auto" w:fill="E1DFDD"/>
    </w:rPr>
  </w:style>
  <w:style w:type="character" w:customStyle="1" w:styleId="244">
    <w:name w:val="font01"/>
    <w:basedOn w:val="60"/>
    <w:autoRedefine/>
    <w:qFormat/>
    <w:uiPriority w:val="0"/>
    <w:rPr>
      <w:rFonts w:hint="eastAsia" w:ascii="宋体" w:hAnsi="宋体" w:eastAsia="宋体" w:cs="宋体"/>
      <w:color w:val="000000"/>
      <w:sz w:val="24"/>
      <w:szCs w:val="24"/>
      <w:u w:val="none"/>
    </w:rPr>
  </w:style>
  <w:style w:type="character" w:customStyle="1" w:styleId="245">
    <w:name w:val="font21"/>
    <w:basedOn w:val="60"/>
    <w:autoRedefine/>
    <w:qFormat/>
    <w:uiPriority w:val="0"/>
    <w:rPr>
      <w:rFonts w:hint="eastAsia" w:ascii="仿宋" w:hAnsi="仿宋" w:eastAsia="仿宋" w:cs="仿宋"/>
      <w:color w:val="000000"/>
      <w:sz w:val="24"/>
      <w:szCs w:val="24"/>
      <w:u w:val="none"/>
    </w:rPr>
  </w:style>
  <w:style w:type="character" w:customStyle="1" w:styleId="246">
    <w:name w:val="font11"/>
    <w:basedOn w:val="60"/>
    <w:autoRedefine/>
    <w:qFormat/>
    <w:uiPriority w:val="0"/>
    <w:rPr>
      <w:rFonts w:hint="default" w:ascii="Times New Roman" w:hAnsi="Times New Roman" w:cs="Times New Roman"/>
      <w:color w:val="000000"/>
      <w:sz w:val="24"/>
      <w:szCs w:val="24"/>
      <w:u w:val="none"/>
    </w:rPr>
  </w:style>
  <w:style w:type="character" w:customStyle="1" w:styleId="247">
    <w:name w:val="批注文字 Char"/>
    <w:autoRedefine/>
    <w:qFormat/>
    <w:uiPriority w:val="0"/>
    <w:rPr>
      <w:rFonts w:eastAsia="PMingLiU"/>
      <w:sz w:val="24"/>
      <w:lang w:eastAsia="zh-TW"/>
    </w:rPr>
  </w:style>
  <w:style w:type="paragraph" w:customStyle="1" w:styleId="248">
    <w:name w:val="HM_正文"/>
    <w:basedOn w:val="1"/>
    <w:autoRedefine/>
    <w:qFormat/>
    <w:uiPriority w:val="0"/>
    <w:pPr>
      <w:spacing w:beforeLines="50" w:line="360" w:lineRule="auto"/>
      <w:ind w:firstLine="200" w:firstLineChars="200"/>
      <w:jc w:val="left"/>
    </w:pPr>
    <w:rPr>
      <w:rFonts w:ascii="宋体"/>
      <w:color w:val="000000"/>
      <w:sz w:val="21"/>
      <w:szCs w:val="21"/>
    </w:rPr>
  </w:style>
  <w:style w:type="paragraph" w:customStyle="1" w:styleId="249">
    <w:name w:val="纯文本1"/>
    <w:basedOn w:val="1"/>
    <w:autoRedefine/>
    <w:qFormat/>
    <w:uiPriority w:val="0"/>
    <w:rPr>
      <w:rFonts w:ascii="宋体" w:hAnsi="Courier New" w:cs="Courier New"/>
      <w:sz w:val="21"/>
      <w:szCs w:val="21"/>
    </w:rPr>
  </w:style>
  <w:style w:type="paragraph" w:customStyle="1" w:styleId="250">
    <w:name w:val="批注文字1"/>
    <w:basedOn w:val="1"/>
    <w:autoRedefine/>
    <w:qFormat/>
    <w:uiPriority w:val="0"/>
    <w:pPr>
      <w:jc w:val="left"/>
    </w:pPr>
    <w:rPr>
      <w:rFonts w:ascii="Calibri" w:hAnsi="Calibri" w:eastAsia="Times New Roman"/>
      <w:sz w:val="21"/>
      <w:szCs w:val="21"/>
    </w:rPr>
  </w:style>
  <w:style w:type="paragraph" w:customStyle="1" w:styleId="251">
    <w:name w:val="纯文本2"/>
    <w:basedOn w:val="1"/>
    <w:autoRedefine/>
    <w:qFormat/>
    <w:uiPriority w:val="0"/>
    <w:rPr>
      <w:rFonts w:ascii="宋体" w:hAnsi="Courier New" w:eastAsia="Times New Roman"/>
      <w:sz w:val="21"/>
      <w:szCs w:val="21"/>
    </w:rPr>
  </w:style>
  <w:style w:type="character" w:customStyle="1" w:styleId="252">
    <w:name w:val="日期 Char"/>
    <w:autoRedefine/>
    <w:qFormat/>
    <w:uiPriority w:val="0"/>
    <w:rPr>
      <w:kern w:val="2"/>
      <w:sz w:val="28"/>
    </w:rPr>
  </w:style>
  <w:style w:type="character" w:customStyle="1" w:styleId="253">
    <w:name w:val="正文文本缩进 Char"/>
    <w:autoRedefine/>
    <w:qFormat/>
    <w:uiPriority w:val="0"/>
    <w:rPr>
      <w:kern w:val="2"/>
      <w:sz w:val="44"/>
    </w:rPr>
  </w:style>
  <w:style w:type="paragraph" w:customStyle="1" w:styleId="254">
    <w:name w:val="修订2"/>
    <w:autoRedefine/>
    <w:hidden/>
    <w:semiHidden/>
    <w:qFormat/>
    <w:uiPriority w:val="99"/>
    <w:rPr>
      <w:rFonts w:ascii="Times New Roman" w:hAnsi="Times New Roman" w:eastAsia="宋体" w:cs="Times New Roman"/>
      <w:kern w:val="2"/>
      <w:sz w:val="28"/>
      <w:lang w:val="en-US" w:eastAsia="zh-CN" w:bidi="ar-SA"/>
    </w:rPr>
  </w:style>
  <w:style w:type="paragraph" w:customStyle="1" w:styleId="255">
    <w:name w:val="修订3"/>
    <w:autoRedefine/>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D2D3-82F0-457B-AB64-1DAAF3936C20}">
  <ds:schemaRefs/>
</ds:datastoreItem>
</file>

<file path=docProps/app.xml><?xml version="1.0" encoding="utf-8"?>
<Properties xmlns="http://schemas.openxmlformats.org/officeDocument/2006/extended-properties" xmlns:vt="http://schemas.openxmlformats.org/officeDocument/2006/docPropsVTypes">
  <Template>Normal</Template>
  <Manager>admin</Manager>
  <Company>重庆海联职业技术学院</Company>
  <Pages>56</Pages>
  <Words>4783</Words>
  <Characters>27268</Characters>
  <Lines>227</Lines>
  <Paragraphs>63</Paragraphs>
  <TotalTime>28</TotalTime>
  <ScaleCrop>false</ScaleCrop>
  <LinksUpToDate>false</LinksUpToDate>
  <CharactersWithSpaces>31988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2020-11-13T18:56:00Z</dcterms:created>
  <dc:creator>admin</dc:creator>
  <cp:lastModifiedBy>童画</cp:lastModifiedBy>
  <cp:lastPrinted>2023-12-05T02:19:00Z</cp:lastPrinted>
  <dcterms:modified xsi:type="dcterms:W3CDTF">2024-01-02T08:02:24Z</dcterms:modified>
  <dc:title>竞争性谈判文件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B823CF5CB7E04F8C803D8460508EB92B_13</vt:lpwstr>
  </property>
</Properties>
</file>